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FD182" w14:textId="77777777" w:rsidR="008F4D21" w:rsidRDefault="008F4D21">
      <w:bookmarkStart w:id="0" w:name="_GoBack"/>
      <w:bookmarkEnd w:id="0"/>
    </w:p>
    <w:p w14:paraId="08B6220A"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6ABAA6BC" w14:textId="77777777" w:rsidTr="005F7F7E">
        <w:tc>
          <w:tcPr>
            <w:tcW w:w="2438" w:type="dxa"/>
            <w:shd w:val="clear" w:color="auto" w:fill="auto"/>
          </w:tcPr>
          <w:p w14:paraId="4E44961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383F2D53" w14:textId="77777777" w:rsidR="00F445B1" w:rsidRPr="00F95BC9" w:rsidRDefault="00DB7AD7" w:rsidP="004A6D2F">
            <w:pPr>
              <w:rPr>
                <w:rStyle w:val="Firstpagetablebold"/>
              </w:rPr>
            </w:pPr>
            <w:r>
              <w:rPr>
                <w:rStyle w:val="Firstpagetablebold"/>
              </w:rPr>
              <w:t>Cabinet</w:t>
            </w:r>
          </w:p>
        </w:tc>
      </w:tr>
      <w:tr w:rsidR="00CE544A" w:rsidRPr="00975B07" w14:paraId="1F6A84B4" w14:textId="77777777" w:rsidTr="005F7F7E">
        <w:tc>
          <w:tcPr>
            <w:tcW w:w="2438" w:type="dxa"/>
            <w:shd w:val="clear" w:color="auto" w:fill="auto"/>
          </w:tcPr>
          <w:p w14:paraId="159B757B"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7F6BAD7" w14:textId="77777777" w:rsidR="00F445B1" w:rsidRPr="001356F1" w:rsidRDefault="003A2233" w:rsidP="005D0621">
            <w:pPr>
              <w:rPr>
                <w:b/>
              </w:rPr>
            </w:pPr>
            <w:r>
              <w:rPr>
                <w:rStyle w:val="Firstpagetablebold"/>
              </w:rPr>
              <w:t>11 March 2020</w:t>
            </w:r>
          </w:p>
        </w:tc>
      </w:tr>
      <w:tr w:rsidR="00CE544A" w:rsidRPr="00975B07" w14:paraId="5C7EDAC6" w14:textId="77777777" w:rsidTr="005F7F7E">
        <w:tc>
          <w:tcPr>
            <w:tcW w:w="2438" w:type="dxa"/>
            <w:shd w:val="clear" w:color="auto" w:fill="auto"/>
          </w:tcPr>
          <w:p w14:paraId="5471A284"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674737A" w14:textId="77777777" w:rsidR="00F445B1" w:rsidRPr="00830042" w:rsidRDefault="00830042" w:rsidP="004A6D2F">
            <w:pPr>
              <w:rPr>
                <w:rStyle w:val="Firstpagetablebold"/>
                <w:b w:val="0"/>
                <w:color w:val="auto"/>
              </w:rPr>
            </w:pPr>
            <w:r w:rsidRPr="00830042">
              <w:rPr>
                <w:rFonts w:ascii="Helvetica" w:hAnsi="Helvetica"/>
                <w:b/>
                <w:color w:val="auto"/>
                <w:shd w:val="clear" w:color="auto" w:fill="FFFFFF"/>
              </w:rPr>
              <w:t>Executive Director (Development)</w:t>
            </w:r>
          </w:p>
        </w:tc>
      </w:tr>
      <w:tr w:rsidR="00CE544A" w:rsidRPr="00975B07" w14:paraId="6A5EAA78" w14:textId="77777777" w:rsidTr="005F7F7E">
        <w:tc>
          <w:tcPr>
            <w:tcW w:w="2438" w:type="dxa"/>
            <w:shd w:val="clear" w:color="auto" w:fill="auto"/>
          </w:tcPr>
          <w:p w14:paraId="099BB467"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564780F" w14:textId="77777777" w:rsidR="00F445B1" w:rsidRPr="00830042" w:rsidRDefault="00830042" w:rsidP="004A6D2F">
            <w:pPr>
              <w:rPr>
                <w:rStyle w:val="Firstpagetablebold"/>
                <w:b w:val="0"/>
                <w:color w:val="auto"/>
              </w:rPr>
            </w:pPr>
            <w:r w:rsidRPr="00830042">
              <w:rPr>
                <w:rFonts w:ascii="Helvetica" w:hAnsi="Helvetica"/>
                <w:b/>
                <w:color w:val="auto"/>
                <w:shd w:val="clear" w:color="auto" w:fill="FFFFFF"/>
              </w:rPr>
              <w:t>Blackbird Leys Development Project Detailed design</w:t>
            </w:r>
          </w:p>
        </w:tc>
      </w:tr>
    </w:tbl>
    <w:p w14:paraId="4CBEA153"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5065FF98" w14:textId="77777777" w:rsidTr="0080749A">
        <w:tc>
          <w:tcPr>
            <w:tcW w:w="8845" w:type="dxa"/>
            <w:gridSpan w:val="3"/>
            <w:tcBorders>
              <w:bottom w:val="single" w:sz="8" w:space="0" w:color="000000"/>
            </w:tcBorders>
            <w:hideMark/>
          </w:tcPr>
          <w:p w14:paraId="483FBDED"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52302A7E" w14:textId="77777777" w:rsidTr="0080749A">
        <w:tc>
          <w:tcPr>
            <w:tcW w:w="2438" w:type="dxa"/>
            <w:gridSpan w:val="2"/>
            <w:tcBorders>
              <w:top w:val="single" w:sz="8" w:space="0" w:color="000000"/>
              <w:left w:val="single" w:sz="8" w:space="0" w:color="000000"/>
              <w:bottom w:val="nil"/>
              <w:right w:val="nil"/>
            </w:tcBorders>
            <w:hideMark/>
          </w:tcPr>
          <w:p w14:paraId="740B4388"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6F2AA606" w14:textId="77777777" w:rsidR="00D5547E" w:rsidRPr="00830042" w:rsidRDefault="00830042" w:rsidP="00C0667D">
            <w:pPr>
              <w:jc w:val="both"/>
              <w:rPr>
                <w:color w:val="auto"/>
              </w:rPr>
            </w:pPr>
            <w:r w:rsidRPr="00830042">
              <w:rPr>
                <w:rFonts w:ascii="Helvetica" w:hAnsi="Helvetica"/>
                <w:color w:val="auto"/>
                <w:shd w:val="clear" w:color="auto" w:fill="FFFFFF"/>
              </w:rPr>
              <w:t>To seek approval to proceed to the detailed design phase</w:t>
            </w:r>
            <w:r w:rsidR="00AB7CB4">
              <w:rPr>
                <w:rFonts w:ascii="Helvetica" w:hAnsi="Helvetica"/>
                <w:color w:val="auto"/>
                <w:shd w:val="clear" w:color="auto" w:fill="FFFFFF"/>
              </w:rPr>
              <w:t xml:space="preserve"> of the Blackbird Leys Estate Regeneration project and allocate funds associated with the detailed design and planning, as well as delivery</w:t>
            </w:r>
            <w:r w:rsidRPr="00830042">
              <w:rPr>
                <w:rFonts w:ascii="Helvetica" w:hAnsi="Helvetica"/>
                <w:color w:val="auto"/>
                <w:shd w:val="clear" w:color="auto" w:fill="FFFFFF"/>
              </w:rPr>
              <w:t>.</w:t>
            </w:r>
          </w:p>
        </w:tc>
      </w:tr>
      <w:tr w:rsidR="00D5547E" w14:paraId="19BDE0A4" w14:textId="77777777" w:rsidTr="0080749A">
        <w:tc>
          <w:tcPr>
            <w:tcW w:w="2438" w:type="dxa"/>
            <w:gridSpan w:val="2"/>
            <w:tcBorders>
              <w:top w:val="nil"/>
              <w:left w:val="single" w:sz="8" w:space="0" w:color="000000"/>
              <w:bottom w:val="nil"/>
              <w:right w:val="nil"/>
            </w:tcBorders>
            <w:hideMark/>
          </w:tcPr>
          <w:p w14:paraId="1CDAF66C"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172C4E20" w14:textId="77777777" w:rsidR="00D5547E" w:rsidRPr="001356F1" w:rsidRDefault="00D5547E" w:rsidP="00830042">
            <w:r w:rsidRPr="001356F1">
              <w:t xml:space="preserve">Yes </w:t>
            </w:r>
          </w:p>
        </w:tc>
      </w:tr>
      <w:tr w:rsidR="00D5547E" w14:paraId="7DB4F455" w14:textId="77777777" w:rsidTr="0080749A">
        <w:tc>
          <w:tcPr>
            <w:tcW w:w="2438" w:type="dxa"/>
            <w:gridSpan w:val="2"/>
            <w:tcBorders>
              <w:top w:val="nil"/>
              <w:left w:val="single" w:sz="8" w:space="0" w:color="000000"/>
              <w:bottom w:val="nil"/>
              <w:right w:val="nil"/>
            </w:tcBorders>
            <w:hideMark/>
          </w:tcPr>
          <w:p w14:paraId="245FC434"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08F6C374" w14:textId="77777777" w:rsidR="00D5547E" w:rsidRPr="00830042" w:rsidRDefault="00830042" w:rsidP="00830042">
            <w:pPr>
              <w:rPr>
                <w:color w:val="auto"/>
              </w:rPr>
            </w:pPr>
            <w:r w:rsidRPr="00830042">
              <w:rPr>
                <w:color w:val="auto"/>
              </w:rPr>
              <w:t xml:space="preserve">Councillor Linda Smith, </w:t>
            </w:r>
            <w:r w:rsidRPr="00830042">
              <w:rPr>
                <w:rFonts w:ascii="Helvetica" w:hAnsi="Helvetica"/>
                <w:color w:val="auto"/>
                <w:shd w:val="clear" w:color="auto" w:fill="FFFFFF"/>
              </w:rPr>
              <w:t>Leisure and Housing</w:t>
            </w:r>
            <w:r w:rsidRPr="00830042">
              <w:rPr>
                <w:color w:val="auto"/>
              </w:rPr>
              <w:t xml:space="preserve"> and Councillor Mike Rowley, </w:t>
            </w:r>
            <w:r w:rsidRPr="00830042">
              <w:rPr>
                <w:rFonts w:ascii="Helvetica" w:hAnsi="Helvetica"/>
                <w:color w:val="auto"/>
                <w:shd w:val="clear" w:color="auto" w:fill="FFFFFF"/>
              </w:rPr>
              <w:t>Affordable Housing</w:t>
            </w:r>
          </w:p>
        </w:tc>
      </w:tr>
      <w:tr w:rsidR="0080749A" w14:paraId="65826F71" w14:textId="77777777" w:rsidTr="0080749A">
        <w:tc>
          <w:tcPr>
            <w:tcW w:w="2438" w:type="dxa"/>
            <w:gridSpan w:val="2"/>
            <w:tcBorders>
              <w:top w:val="nil"/>
              <w:left w:val="single" w:sz="8" w:space="0" w:color="000000"/>
              <w:bottom w:val="nil"/>
              <w:right w:val="nil"/>
            </w:tcBorders>
          </w:tcPr>
          <w:p w14:paraId="220E4DC0"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19C995BF" w14:textId="77777777" w:rsidR="0080749A" w:rsidRPr="001356F1" w:rsidRDefault="006522D3" w:rsidP="005F7F7E">
            <w:r>
              <w:t>Meeting Housing Need; Strong &amp; Active Communities</w:t>
            </w:r>
          </w:p>
        </w:tc>
      </w:tr>
      <w:tr w:rsidR="00D5547E" w14:paraId="76480712" w14:textId="77777777" w:rsidTr="0080749A">
        <w:tc>
          <w:tcPr>
            <w:tcW w:w="2438" w:type="dxa"/>
            <w:gridSpan w:val="2"/>
            <w:tcBorders>
              <w:top w:val="nil"/>
              <w:left w:val="single" w:sz="8" w:space="0" w:color="000000"/>
              <w:bottom w:val="nil"/>
              <w:right w:val="nil"/>
            </w:tcBorders>
            <w:hideMark/>
          </w:tcPr>
          <w:p w14:paraId="57FA1E96"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317446D8" w14:textId="77777777" w:rsidR="006522D3" w:rsidRPr="000B51ED" w:rsidRDefault="006522D3" w:rsidP="00C0667D">
            <w:pPr>
              <w:jc w:val="both"/>
              <w:rPr>
                <w:i/>
              </w:rPr>
            </w:pPr>
            <w:r w:rsidRPr="000B51ED">
              <w:rPr>
                <w:i/>
              </w:rPr>
              <w:t xml:space="preserve">Housing &amp; Homelessness Strategy 2018-2021: </w:t>
            </w:r>
          </w:p>
          <w:p w14:paraId="54CEAAF4" w14:textId="77777777" w:rsidR="006522D3" w:rsidRDefault="006522D3" w:rsidP="00C0667D">
            <w:pPr>
              <w:numPr>
                <w:ilvl w:val="0"/>
                <w:numId w:val="6"/>
              </w:numPr>
              <w:ind w:left="313" w:hanging="283"/>
              <w:jc w:val="both"/>
            </w:pPr>
            <w:r>
              <w:t xml:space="preserve">Invest to create sustainable communities that are safe &amp; happy &amp; increase housing supply; and </w:t>
            </w:r>
          </w:p>
          <w:p w14:paraId="17812E5B" w14:textId="77777777" w:rsidR="006522D3" w:rsidRDefault="006522D3" w:rsidP="00C0667D">
            <w:pPr>
              <w:numPr>
                <w:ilvl w:val="0"/>
                <w:numId w:val="6"/>
              </w:numPr>
              <w:ind w:left="313" w:hanging="283"/>
              <w:jc w:val="both"/>
            </w:pPr>
            <w:r>
              <w:t>Improve access to affordable housing</w:t>
            </w:r>
            <w:r w:rsidRPr="001356F1">
              <w:t>.</w:t>
            </w:r>
          </w:p>
          <w:p w14:paraId="51DC191F" w14:textId="77777777" w:rsidR="006522D3" w:rsidRPr="000B51ED" w:rsidRDefault="006522D3" w:rsidP="00C0667D">
            <w:pPr>
              <w:jc w:val="both"/>
              <w:rPr>
                <w:i/>
              </w:rPr>
            </w:pPr>
            <w:r w:rsidRPr="000B51ED">
              <w:rPr>
                <w:i/>
              </w:rPr>
              <w:t>Strong and Active Communities</w:t>
            </w:r>
            <w:r>
              <w:rPr>
                <w:i/>
              </w:rPr>
              <w:t>:</w:t>
            </w:r>
          </w:p>
          <w:p w14:paraId="03BC9FB8" w14:textId="77777777" w:rsidR="00D5547E" w:rsidRPr="001356F1" w:rsidRDefault="006522D3" w:rsidP="00C0667D">
            <w:pPr>
              <w:pStyle w:val="ListParagraph"/>
              <w:numPr>
                <w:ilvl w:val="0"/>
                <w:numId w:val="7"/>
              </w:numPr>
              <w:ind w:left="313" w:hanging="283"/>
              <w:jc w:val="both"/>
            </w:pPr>
            <w:r>
              <w:t>Provide high quality community facilities</w:t>
            </w:r>
          </w:p>
        </w:tc>
      </w:tr>
      <w:tr w:rsidR="005F7F7E" w:rsidRPr="00975B07" w14:paraId="0532FF8A" w14:textId="77777777" w:rsidTr="00A46E98">
        <w:trPr>
          <w:trHeight w:val="413"/>
        </w:trPr>
        <w:tc>
          <w:tcPr>
            <w:tcW w:w="8845" w:type="dxa"/>
            <w:gridSpan w:val="3"/>
            <w:tcBorders>
              <w:bottom w:val="single" w:sz="8" w:space="0" w:color="000000"/>
            </w:tcBorders>
          </w:tcPr>
          <w:p w14:paraId="44442457" w14:textId="7149F7DD" w:rsidR="005F7F7E" w:rsidRPr="00975B07" w:rsidRDefault="00D44EFC" w:rsidP="00D44EFC">
            <w:proofErr w:type="spellStart"/>
            <w:r>
              <w:rPr>
                <w:rStyle w:val="Firstpagetablebold"/>
              </w:rPr>
              <w:t>Recommendation</w:t>
            </w:r>
            <w:r w:rsidR="005F7F7E">
              <w:rPr>
                <w:rStyle w:val="Firstpagetablebold"/>
              </w:rPr>
              <w:t>s:</w:t>
            </w:r>
            <w:r w:rsidR="005F7F7E" w:rsidRPr="00D44EFC">
              <w:rPr>
                <w:rStyle w:val="Firstpagetablebold"/>
                <w:b w:val="0"/>
              </w:rPr>
              <w:t>That</w:t>
            </w:r>
            <w:proofErr w:type="spellEnd"/>
            <w:r w:rsidR="005F7F7E" w:rsidRPr="00D44EFC">
              <w:rPr>
                <w:rStyle w:val="Firstpagetablebold"/>
                <w:b w:val="0"/>
              </w:rPr>
              <w:t xml:space="preserve"> </w:t>
            </w:r>
            <w:r w:rsidR="00DB7AD7" w:rsidRPr="00D44EFC">
              <w:rPr>
                <w:rStyle w:val="Firstpagetablebold"/>
                <w:b w:val="0"/>
              </w:rPr>
              <w:t>Cabinet</w:t>
            </w:r>
            <w:r w:rsidR="005F7F7E" w:rsidRPr="00D44EFC">
              <w:rPr>
                <w:rStyle w:val="Firstpagetablebold"/>
                <w:b w:val="0"/>
              </w:rPr>
              <w:t xml:space="preserve"> resolves to:</w:t>
            </w:r>
          </w:p>
        </w:tc>
      </w:tr>
      <w:tr w:rsidR="0030208D" w:rsidRPr="00975B07" w14:paraId="70A4F6B9" w14:textId="77777777" w:rsidTr="00A46E98">
        <w:trPr>
          <w:trHeight w:val="283"/>
        </w:trPr>
        <w:tc>
          <w:tcPr>
            <w:tcW w:w="426" w:type="dxa"/>
            <w:tcBorders>
              <w:top w:val="single" w:sz="8" w:space="0" w:color="000000"/>
              <w:left w:val="single" w:sz="8" w:space="0" w:color="000000"/>
              <w:bottom w:val="nil"/>
              <w:right w:val="nil"/>
            </w:tcBorders>
          </w:tcPr>
          <w:p w14:paraId="1082141F"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694AAB92" w14:textId="7339A358" w:rsidR="0030208D" w:rsidRPr="00346EE4" w:rsidRDefault="003A13CC" w:rsidP="007A1A1E">
            <w:pPr>
              <w:rPr>
                <w:color w:val="auto"/>
              </w:rPr>
            </w:pPr>
            <w:r>
              <w:rPr>
                <w:rStyle w:val="Firstpagetablebold"/>
                <w:color w:val="auto"/>
              </w:rPr>
              <w:t xml:space="preserve">Delegate authority </w:t>
            </w:r>
            <w:r w:rsidRPr="00D44EFC">
              <w:rPr>
                <w:rStyle w:val="Firstpagetablebold"/>
                <w:b w:val="0"/>
                <w:color w:val="auto"/>
              </w:rPr>
              <w:t xml:space="preserve">to the Executive Director Development to sign off </w:t>
            </w:r>
            <w:r w:rsidR="002E6FCD" w:rsidRPr="00D44EFC">
              <w:rPr>
                <w:rStyle w:val="Firstpagetablebold"/>
                <w:b w:val="0"/>
                <w:color w:val="auto"/>
              </w:rPr>
              <w:t xml:space="preserve">the </w:t>
            </w:r>
            <w:r w:rsidR="00BC6F80" w:rsidRPr="00D44EFC">
              <w:rPr>
                <w:color w:val="auto"/>
              </w:rPr>
              <w:t>Pre-Planning Viability Condition</w:t>
            </w:r>
            <w:r w:rsidR="00BC6F80" w:rsidRPr="00D44EFC">
              <w:rPr>
                <w:b/>
                <w:color w:val="auto"/>
              </w:rPr>
              <w:t xml:space="preserve"> </w:t>
            </w:r>
            <w:r w:rsidR="00346EE4" w:rsidRPr="00D44EFC">
              <w:rPr>
                <w:rStyle w:val="Firstpagetablebold"/>
                <w:b w:val="0"/>
                <w:color w:val="auto"/>
              </w:rPr>
              <w:t>a</w:t>
            </w:r>
            <w:r w:rsidR="00C61D21" w:rsidRPr="00D44EFC">
              <w:rPr>
                <w:rStyle w:val="Firstpagetablebold"/>
                <w:b w:val="0"/>
                <w:color w:val="auto"/>
              </w:rPr>
              <w:t xml:space="preserve">nd all other </w:t>
            </w:r>
            <w:r w:rsidR="00A3399C" w:rsidRPr="00D44EFC">
              <w:rPr>
                <w:rStyle w:val="Firstpagetablebold"/>
                <w:b w:val="0"/>
                <w:color w:val="auto"/>
              </w:rPr>
              <w:t>Stage One</w:t>
            </w:r>
            <w:r w:rsidRPr="00D44EFC">
              <w:rPr>
                <w:rStyle w:val="Firstpagetablebold"/>
                <w:b w:val="0"/>
                <w:color w:val="auto"/>
              </w:rPr>
              <w:t xml:space="preserve"> </w:t>
            </w:r>
            <w:r w:rsidR="00C61D21" w:rsidRPr="00D44EFC">
              <w:rPr>
                <w:rStyle w:val="Firstpagetablebold"/>
                <w:b w:val="0"/>
                <w:color w:val="auto"/>
              </w:rPr>
              <w:t>requirements</w:t>
            </w:r>
            <w:r w:rsidR="006370A9" w:rsidRPr="00D44EFC">
              <w:rPr>
                <w:rStyle w:val="Firstpagetablebold"/>
                <w:b w:val="0"/>
                <w:color w:val="auto"/>
              </w:rPr>
              <w:t xml:space="preserve"> </w:t>
            </w:r>
            <w:r w:rsidRPr="00D44EFC">
              <w:rPr>
                <w:rStyle w:val="Firstpagetablebold"/>
                <w:b w:val="0"/>
                <w:color w:val="auto"/>
              </w:rPr>
              <w:t xml:space="preserve">of the Development Agreement </w:t>
            </w:r>
            <w:r w:rsidR="006370A9" w:rsidRPr="00D44EFC">
              <w:rPr>
                <w:rStyle w:val="Firstpagetablebold"/>
                <w:b w:val="0"/>
                <w:color w:val="auto"/>
              </w:rPr>
              <w:t>detailed in this report,</w:t>
            </w:r>
            <w:r w:rsidRPr="00D44EFC">
              <w:rPr>
                <w:rStyle w:val="Firstpagetablebold"/>
                <w:b w:val="0"/>
                <w:color w:val="auto"/>
              </w:rPr>
              <w:t xml:space="preserve"> and confirm the project can move</w:t>
            </w:r>
            <w:r w:rsidR="00A3399C" w:rsidRPr="00D44EFC">
              <w:rPr>
                <w:rStyle w:val="Firstpagetablebold"/>
                <w:b w:val="0"/>
                <w:color w:val="auto"/>
              </w:rPr>
              <w:t xml:space="preserve"> past Gateway One and into Stage Two </w:t>
            </w:r>
            <w:r w:rsidR="007A1A1E" w:rsidRPr="00D44EFC">
              <w:rPr>
                <w:rStyle w:val="Firstpagetablebold"/>
                <w:b w:val="0"/>
                <w:color w:val="auto"/>
              </w:rPr>
              <w:t xml:space="preserve">(detailed design &amp; planning submission) </w:t>
            </w:r>
            <w:r w:rsidR="00A3399C" w:rsidRPr="00D44EFC">
              <w:rPr>
                <w:rStyle w:val="Firstpagetablebold"/>
                <w:b w:val="0"/>
                <w:color w:val="auto"/>
              </w:rPr>
              <w:t>of the Development Agreement</w:t>
            </w:r>
            <w:r w:rsidR="00D44EFC">
              <w:rPr>
                <w:rStyle w:val="Firstpagetablebold"/>
                <w:b w:val="0"/>
                <w:color w:val="auto"/>
              </w:rPr>
              <w:t>;</w:t>
            </w:r>
          </w:p>
        </w:tc>
      </w:tr>
      <w:tr w:rsidR="00232F5B" w:rsidRPr="00975B07" w14:paraId="69D7C2EE" w14:textId="77777777" w:rsidTr="00A46E98">
        <w:trPr>
          <w:trHeight w:val="283"/>
        </w:trPr>
        <w:tc>
          <w:tcPr>
            <w:tcW w:w="426" w:type="dxa"/>
            <w:tcBorders>
              <w:top w:val="nil"/>
              <w:left w:val="single" w:sz="8" w:space="0" w:color="000000"/>
              <w:bottom w:val="nil"/>
              <w:right w:val="nil"/>
            </w:tcBorders>
          </w:tcPr>
          <w:p w14:paraId="039A0CA0" w14:textId="77777777" w:rsidR="0030208D" w:rsidRPr="00975B07" w:rsidRDefault="006370A9" w:rsidP="004A6D2F">
            <w:r>
              <w:t>2</w:t>
            </w:r>
            <w:r w:rsidR="00046D2B" w:rsidRPr="00975B07">
              <w:t>.</w:t>
            </w:r>
          </w:p>
        </w:tc>
        <w:tc>
          <w:tcPr>
            <w:tcW w:w="8419" w:type="dxa"/>
            <w:gridSpan w:val="2"/>
            <w:tcBorders>
              <w:top w:val="nil"/>
              <w:left w:val="nil"/>
              <w:bottom w:val="nil"/>
              <w:right w:val="single" w:sz="8" w:space="0" w:color="000000"/>
            </w:tcBorders>
            <w:shd w:val="clear" w:color="auto" w:fill="auto"/>
          </w:tcPr>
          <w:p w14:paraId="47E2FB84" w14:textId="77ED448F" w:rsidR="00AB7CB4" w:rsidRPr="00C0667D" w:rsidRDefault="003A13CC" w:rsidP="00117E91">
            <w:pPr>
              <w:rPr>
                <w:b/>
                <w:color w:val="auto"/>
              </w:rPr>
            </w:pPr>
            <w:r>
              <w:rPr>
                <w:rStyle w:val="Firstpagetablebold"/>
                <w:color w:val="auto"/>
              </w:rPr>
              <w:t xml:space="preserve">Delegate authority </w:t>
            </w:r>
            <w:r w:rsidRPr="00D44EFC">
              <w:rPr>
                <w:rStyle w:val="Firstpagetablebold"/>
                <w:b w:val="0"/>
                <w:color w:val="auto"/>
              </w:rPr>
              <w:t>to the</w:t>
            </w:r>
            <w:r w:rsidR="00E60561" w:rsidRPr="00D44EFC">
              <w:rPr>
                <w:rStyle w:val="Firstpagetablebold"/>
                <w:b w:val="0"/>
                <w:color w:val="auto"/>
              </w:rPr>
              <w:t xml:space="preserve"> Executive Director of Development</w:t>
            </w:r>
            <w:r w:rsidRPr="00D44EFC">
              <w:rPr>
                <w:rStyle w:val="Firstpagetablebold"/>
                <w:b w:val="0"/>
                <w:color w:val="auto"/>
              </w:rPr>
              <w:t>, in consultation with the Cabinet Member for Leisure &amp; Housing and the Cabinet Member for Affordable Housing</w:t>
            </w:r>
            <w:r w:rsidR="00654277" w:rsidRPr="00D44EFC">
              <w:rPr>
                <w:rStyle w:val="Firstpagetablebold"/>
                <w:b w:val="0"/>
                <w:color w:val="auto"/>
              </w:rPr>
              <w:t>,</w:t>
            </w:r>
            <w:r w:rsidRPr="00D44EFC">
              <w:rPr>
                <w:rStyle w:val="Firstpagetablebold"/>
                <w:b w:val="0"/>
                <w:color w:val="auto"/>
              </w:rPr>
              <w:t xml:space="preserve"> </w:t>
            </w:r>
            <w:r w:rsidR="00E60561" w:rsidRPr="00D44EFC">
              <w:rPr>
                <w:rStyle w:val="Firstpagetablebold"/>
                <w:b w:val="0"/>
                <w:color w:val="auto"/>
              </w:rPr>
              <w:t>to approve</w:t>
            </w:r>
            <w:r w:rsidR="00654277" w:rsidRPr="00D44EFC">
              <w:rPr>
                <w:rStyle w:val="Firstpagetablebold"/>
                <w:b w:val="0"/>
                <w:color w:val="auto"/>
              </w:rPr>
              <w:t xml:space="preserve"> moving through the remaining Gateways of the Development Agreement and subsequently entering into a lease </w:t>
            </w:r>
            <w:r w:rsidR="00117E91" w:rsidRPr="00D44EFC">
              <w:rPr>
                <w:rStyle w:val="Firstpagetablebold"/>
                <w:b w:val="0"/>
                <w:color w:val="auto"/>
              </w:rPr>
              <w:t xml:space="preserve">for the land </w:t>
            </w:r>
            <w:r w:rsidR="00654277" w:rsidRPr="00D44EFC">
              <w:rPr>
                <w:rStyle w:val="Firstpagetablebold"/>
                <w:b w:val="0"/>
                <w:color w:val="auto"/>
              </w:rPr>
              <w:t>with Catalyst Housing Limited,</w:t>
            </w:r>
            <w:r w:rsidRPr="00D44EFC">
              <w:rPr>
                <w:rStyle w:val="Firstpagetablebold"/>
                <w:b w:val="0"/>
                <w:color w:val="auto"/>
              </w:rPr>
              <w:t xml:space="preserve"> subject to the approved budget</w:t>
            </w:r>
            <w:r w:rsidR="00D44EFC">
              <w:rPr>
                <w:rStyle w:val="Firstpagetablebold"/>
                <w:b w:val="0"/>
                <w:color w:val="auto"/>
              </w:rPr>
              <w:t>;</w:t>
            </w:r>
          </w:p>
        </w:tc>
      </w:tr>
      <w:tr w:rsidR="00044D29" w:rsidRPr="00975B07" w14:paraId="3BADF20E" w14:textId="77777777" w:rsidTr="00C0667D">
        <w:trPr>
          <w:trHeight w:val="283"/>
        </w:trPr>
        <w:tc>
          <w:tcPr>
            <w:tcW w:w="426" w:type="dxa"/>
            <w:tcBorders>
              <w:top w:val="nil"/>
              <w:left w:val="single" w:sz="8" w:space="0" w:color="000000"/>
              <w:bottom w:val="nil"/>
              <w:right w:val="nil"/>
            </w:tcBorders>
          </w:tcPr>
          <w:p w14:paraId="155E0559" w14:textId="77777777" w:rsidR="00044D29" w:rsidRPr="00975B07" w:rsidRDefault="006370A9" w:rsidP="004A6D2F">
            <w:r>
              <w:t>3.</w:t>
            </w:r>
          </w:p>
        </w:tc>
        <w:tc>
          <w:tcPr>
            <w:tcW w:w="8419" w:type="dxa"/>
            <w:gridSpan w:val="2"/>
            <w:tcBorders>
              <w:top w:val="nil"/>
              <w:left w:val="nil"/>
              <w:bottom w:val="nil"/>
              <w:right w:val="single" w:sz="8" w:space="0" w:color="000000"/>
            </w:tcBorders>
            <w:shd w:val="clear" w:color="auto" w:fill="auto"/>
          </w:tcPr>
          <w:p w14:paraId="52FFD57D" w14:textId="646C29DE" w:rsidR="00627985" w:rsidRPr="00C0667D" w:rsidRDefault="006370A9" w:rsidP="00FC3658">
            <w:pPr>
              <w:rPr>
                <w:b/>
                <w:color w:val="auto"/>
              </w:rPr>
            </w:pPr>
            <w:r>
              <w:rPr>
                <w:rStyle w:val="Firstpagetablebold"/>
                <w:color w:val="auto"/>
              </w:rPr>
              <w:t xml:space="preserve">Note </w:t>
            </w:r>
            <w:r w:rsidRPr="00D44EFC">
              <w:rPr>
                <w:rStyle w:val="Firstpagetablebold"/>
                <w:b w:val="0"/>
                <w:color w:val="auto"/>
              </w:rPr>
              <w:t xml:space="preserve">that the Development Agreement sets out that if the scheme does not move forward to delivery, that the Council will incur 50% of the Stage 2 </w:t>
            </w:r>
            <w:r w:rsidRPr="00D44EFC">
              <w:rPr>
                <w:rStyle w:val="Firstpagetablebold"/>
                <w:b w:val="0"/>
                <w:color w:val="auto"/>
              </w:rPr>
              <w:lastRenderedPageBreak/>
              <w:t xml:space="preserve">costs, an estimate of which is set out in the report. </w:t>
            </w:r>
            <w:r w:rsidR="00D86969" w:rsidRPr="00D44EFC">
              <w:rPr>
                <w:rStyle w:val="Firstpagetablebold"/>
                <w:b w:val="0"/>
                <w:color w:val="auto"/>
              </w:rPr>
              <w:t xml:space="preserve">(paragraph </w:t>
            </w:r>
            <w:r w:rsidR="00FC3658" w:rsidRPr="00D44EFC">
              <w:rPr>
                <w:rStyle w:val="Firstpagetablebold"/>
                <w:b w:val="0"/>
                <w:color w:val="auto"/>
              </w:rPr>
              <w:t>73</w:t>
            </w:r>
            <w:r w:rsidR="00D86969" w:rsidRPr="00D44EFC">
              <w:rPr>
                <w:rStyle w:val="Firstpagetablebold"/>
                <w:b w:val="0"/>
                <w:color w:val="auto"/>
              </w:rPr>
              <w:t>)</w:t>
            </w:r>
            <w:r w:rsidR="00D44EFC">
              <w:rPr>
                <w:rStyle w:val="Firstpagetablebold"/>
                <w:b w:val="0"/>
                <w:color w:val="auto"/>
              </w:rPr>
              <w:t>;</w:t>
            </w:r>
          </w:p>
        </w:tc>
      </w:tr>
      <w:tr w:rsidR="00627985" w:rsidRPr="00975B07" w14:paraId="682CFDA8" w14:textId="77777777" w:rsidTr="00C0667D">
        <w:trPr>
          <w:trHeight w:val="283"/>
        </w:trPr>
        <w:tc>
          <w:tcPr>
            <w:tcW w:w="426" w:type="dxa"/>
            <w:tcBorders>
              <w:top w:val="nil"/>
              <w:left w:val="single" w:sz="8" w:space="0" w:color="000000"/>
              <w:bottom w:val="nil"/>
              <w:right w:val="nil"/>
            </w:tcBorders>
          </w:tcPr>
          <w:p w14:paraId="4993D658" w14:textId="23F0D8DE" w:rsidR="00627985" w:rsidRPr="00C85E19" w:rsidRDefault="00F126C8" w:rsidP="004A6D2F">
            <w:pPr>
              <w:rPr>
                <w:rStyle w:val="Firstpagetablebold"/>
                <w:b w:val="0"/>
                <w:color w:val="auto"/>
              </w:rPr>
            </w:pPr>
            <w:r w:rsidRPr="00C85E19">
              <w:rPr>
                <w:rStyle w:val="Firstpagetablebold"/>
                <w:b w:val="0"/>
                <w:color w:val="auto"/>
              </w:rPr>
              <w:lastRenderedPageBreak/>
              <w:t>4.</w:t>
            </w:r>
          </w:p>
        </w:tc>
        <w:tc>
          <w:tcPr>
            <w:tcW w:w="8419" w:type="dxa"/>
            <w:gridSpan w:val="2"/>
            <w:tcBorders>
              <w:top w:val="nil"/>
              <w:left w:val="nil"/>
              <w:bottom w:val="nil"/>
              <w:right w:val="single" w:sz="8" w:space="0" w:color="000000"/>
            </w:tcBorders>
            <w:shd w:val="clear" w:color="auto" w:fill="auto"/>
          </w:tcPr>
          <w:p w14:paraId="4792DCCA" w14:textId="205FC33C" w:rsidR="00627985" w:rsidRDefault="00D44EFC" w:rsidP="007A1A1E">
            <w:pPr>
              <w:rPr>
                <w:rStyle w:val="Firstpagetablebold"/>
                <w:color w:val="auto"/>
              </w:rPr>
            </w:pPr>
            <w:r>
              <w:rPr>
                <w:rStyle w:val="Firstpagetablebold"/>
              </w:rPr>
              <w:t>A</w:t>
            </w:r>
            <w:r w:rsidR="00F126C8" w:rsidRPr="00C85E19">
              <w:rPr>
                <w:rStyle w:val="Firstpagetablebold"/>
              </w:rPr>
              <w:t xml:space="preserve">pprove </w:t>
            </w:r>
            <w:r w:rsidR="00F126C8" w:rsidRPr="00D44EFC">
              <w:rPr>
                <w:rStyle w:val="Firstpagetablebold"/>
                <w:b w:val="0"/>
              </w:rPr>
              <w:t>the</w:t>
            </w:r>
            <w:r w:rsidR="00627985" w:rsidRPr="00D44EFC">
              <w:rPr>
                <w:rStyle w:val="Firstpagetablebold"/>
                <w:b w:val="0"/>
                <w:color w:val="auto"/>
              </w:rPr>
              <w:t xml:space="preserve"> use the CIL receipts generate</w:t>
            </w:r>
            <w:r w:rsidR="00F126C8" w:rsidRPr="00D44EFC">
              <w:rPr>
                <w:rStyle w:val="Firstpagetablebold"/>
                <w:b w:val="0"/>
              </w:rPr>
              <w:t xml:space="preserve">d to facilitate the delivery of </w:t>
            </w:r>
            <w:r w:rsidR="00627985" w:rsidRPr="00D44EFC">
              <w:rPr>
                <w:rStyle w:val="Firstpagetablebold"/>
                <w:b w:val="0"/>
                <w:color w:val="auto"/>
              </w:rPr>
              <w:t>the community and infrastructure works set out in the concept plan</w:t>
            </w:r>
            <w:r w:rsidR="00F126C8" w:rsidRPr="00D44EFC">
              <w:rPr>
                <w:rStyle w:val="Firstpagetablebold"/>
                <w:b w:val="0"/>
              </w:rPr>
              <w:t xml:space="preserve"> </w:t>
            </w:r>
            <w:r w:rsidR="00627985" w:rsidRPr="00D44EFC">
              <w:rPr>
                <w:rStyle w:val="Firstpagetablebold"/>
                <w:b w:val="0"/>
                <w:color w:val="auto"/>
              </w:rPr>
              <w:t xml:space="preserve">and to recommend to </w:t>
            </w:r>
            <w:r w:rsidR="00F126C8" w:rsidRPr="00D44EFC">
              <w:rPr>
                <w:rStyle w:val="Firstpagetablebold"/>
                <w:b w:val="0"/>
              </w:rPr>
              <w:t xml:space="preserve">Full </w:t>
            </w:r>
            <w:r w:rsidR="00627985" w:rsidRPr="00D44EFC">
              <w:rPr>
                <w:rStyle w:val="Firstpagetablebold"/>
                <w:b w:val="0"/>
                <w:color w:val="auto"/>
              </w:rPr>
              <w:t>Council that this commitment is recognised in the Capital Programme in 2022/23 and beyond as a potential future earmarked CIL receipt (for investment in strategic infrastructure and community facilities at Blackbird Leys) and subject to planning</w:t>
            </w:r>
            <w:r>
              <w:rPr>
                <w:rStyle w:val="Firstpagetablebold"/>
                <w:b w:val="0"/>
                <w:color w:val="auto"/>
              </w:rPr>
              <w:t>;</w:t>
            </w:r>
          </w:p>
        </w:tc>
      </w:tr>
      <w:tr w:rsidR="006370A9" w:rsidRPr="00975B07" w14:paraId="27037F7F" w14:textId="77777777" w:rsidTr="00B1556E">
        <w:trPr>
          <w:trHeight w:val="283"/>
        </w:trPr>
        <w:tc>
          <w:tcPr>
            <w:tcW w:w="426" w:type="dxa"/>
            <w:tcBorders>
              <w:top w:val="nil"/>
              <w:left w:val="single" w:sz="8" w:space="0" w:color="000000"/>
              <w:bottom w:val="nil"/>
              <w:right w:val="nil"/>
            </w:tcBorders>
          </w:tcPr>
          <w:p w14:paraId="1B2BCE2B" w14:textId="03E0606B" w:rsidR="006370A9" w:rsidRPr="00975B07" w:rsidRDefault="00F126C8" w:rsidP="004A6D2F">
            <w:r>
              <w:t>5</w:t>
            </w:r>
            <w:r w:rsidR="006370A9">
              <w:t>.</w:t>
            </w:r>
          </w:p>
        </w:tc>
        <w:tc>
          <w:tcPr>
            <w:tcW w:w="8419" w:type="dxa"/>
            <w:gridSpan w:val="2"/>
            <w:tcBorders>
              <w:top w:val="nil"/>
              <w:left w:val="nil"/>
              <w:bottom w:val="nil"/>
              <w:right w:val="single" w:sz="8" w:space="0" w:color="000000"/>
            </w:tcBorders>
            <w:shd w:val="clear" w:color="auto" w:fill="auto"/>
          </w:tcPr>
          <w:p w14:paraId="7A90FB3E" w14:textId="4970888B" w:rsidR="00B1556E" w:rsidRDefault="00FA4AC0" w:rsidP="00E610D6">
            <w:pPr>
              <w:rPr>
                <w:rStyle w:val="Firstpagetablebold"/>
                <w:color w:val="auto"/>
              </w:rPr>
            </w:pPr>
            <w:r>
              <w:rPr>
                <w:rStyle w:val="Firstpagetablebold"/>
                <w:color w:val="auto"/>
              </w:rPr>
              <w:t xml:space="preserve">Recommend </w:t>
            </w:r>
            <w:proofErr w:type="gramStart"/>
            <w:r>
              <w:rPr>
                <w:rStyle w:val="Firstpagetablebold"/>
                <w:color w:val="auto"/>
              </w:rPr>
              <w:t xml:space="preserve">to </w:t>
            </w:r>
            <w:r w:rsidR="006370A9">
              <w:rPr>
                <w:rStyle w:val="Firstpagetablebold"/>
                <w:color w:val="auto"/>
              </w:rPr>
              <w:t xml:space="preserve"> Council</w:t>
            </w:r>
            <w:proofErr w:type="gramEnd"/>
            <w:r w:rsidR="006370A9">
              <w:rPr>
                <w:rStyle w:val="Firstpagetablebold"/>
                <w:color w:val="auto"/>
              </w:rPr>
              <w:t xml:space="preserve"> </w:t>
            </w:r>
            <w:r w:rsidR="006370A9" w:rsidRPr="00D44EFC">
              <w:rPr>
                <w:rStyle w:val="Firstpagetablebold"/>
                <w:b w:val="0"/>
                <w:color w:val="auto"/>
              </w:rPr>
              <w:t xml:space="preserve">to allocate a budget of </w:t>
            </w:r>
            <w:r w:rsidR="00F126C8" w:rsidRPr="00D44EFC">
              <w:rPr>
                <w:rStyle w:val="Firstpagetablebold"/>
                <w:b w:val="0"/>
                <w:color w:val="auto"/>
              </w:rPr>
              <w:t xml:space="preserve">up to </w:t>
            </w:r>
            <w:r w:rsidR="006370A9" w:rsidRPr="00D44EFC">
              <w:rPr>
                <w:rStyle w:val="Firstpagetablebold"/>
                <w:b w:val="0"/>
                <w:color w:val="auto"/>
              </w:rPr>
              <w:t>£</w:t>
            </w:r>
            <w:r w:rsidR="007C08FF" w:rsidRPr="00D44EFC">
              <w:rPr>
                <w:rStyle w:val="Firstpagetablebold"/>
                <w:b w:val="0"/>
                <w:color w:val="auto"/>
              </w:rPr>
              <w:t>21</w:t>
            </w:r>
            <w:r w:rsidR="00597F95" w:rsidRPr="00D44EFC">
              <w:rPr>
                <w:rStyle w:val="Firstpagetablebold"/>
                <w:b w:val="0"/>
                <w:color w:val="auto"/>
              </w:rPr>
              <w:t>.</w:t>
            </w:r>
            <w:r w:rsidR="00E610D6" w:rsidRPr="00D44EFC">
              <w:rPr>
                <w:rStyle w:val="Firstpagetablebold"/>
                <w:b w:val="0"/>
                <w:color w:val="auto"/>
              </w:rPr>
              <w:t>528</w:t>
            </w:r>
            <w:r w:rsidR="00551965" w:rsidRPr="00D44EFC">
              <w:rPr>
                <w:rStyle w:val="Firstpagetablebold"/>
                <w:b w:val="0"/>
                <w:color w:val="auto"/>
              </w:rPr>
              <w:t xml:space="preserve"> </w:t>
            </w:r>
            <w:r w:rsidR="006370A9" w:rsidRPr="00D44EFC">
              <w:rPr>
                <w:rStyle w:val="Firstpagetablebold"/>
                <w:b w:val="0"/>
                <w:color w:val="auto"/>
              </w:rPr>
              <w:t>million to deliver the scheme</w:t>
            </w:r>
            <w:r w:rsidR="00117E91" w:rsidRPr="00D44EFC">
              <w:rPr>
                <w:rStyle w:val="Firstpagetablebold"/>
                <w:b w:val="0"/>
                <w:color w:val="auto"/>
              </w:rPr>
              <w:t xml:space="preserve"> for new affordable and market housing, community and retail facilities and new and enhanced public space</w:t>
            </w:r>
            <w:r w:rsidR="005B4381" w:rsidRPr="00D44EFC">
              <w:rPr>
                <w:rStyle w:val="Firstpagetablebold"/>
                <w:b w:val="0"/>
                <w:color w:val="auto"/>
              </w:rPr>
              <w:t xml:space="preserve"> </w:t>
            </w:r>
            <w:r w:rsidR="0042528A" w:rsidRPr="00D44EFC">
              <w:rPr>
                <w:rStyle w:val="Firstpagetablebold"/>
                <w:b w:val="0"/>
                <w:color w:val="auto"/>
              </w:rPr>
              <w:t xml:space="preserve">(paragraphs </w:t>
            </w:r>
            <w:r w:rsidR="00AC6C59" w:rsidRPr="00D44EFC">
              <w:rPr>
                <w:rStyle w:val="Firstpagetablebold"/>
                <w:b w:val="0"/>
                <w:color w:val="auto"/>
              </w:rPr>
              <w:t>11</w:t>
            </w:r>
            <w:r w:rsidR="0042528A" w:rsidRPr="00D44EFC">
              <w:rPr>
                <w:rStyle w:val="Firstpagetablebold"/>
                <w:b w:val="0"/>
                <w:color w:val="auto"/>
              </w:rPr>
              <w:t>-</w:t>
            </w:r>
            <w:r w:rsidR="00AC6C59" w:rsidRPr="00D44EFC">
              <w:rPr>
                <w:rStyle w:val="Firstpagetablebold"/>
                <w:b w:val="0"/>
                <w:color w:val="auto"/>
              </w:rPr>
              <w:t>19</w:t>
            </w:r>
            <w:r w:rsidR="0042528A" w:rsidRPr="00D44EFC">
              <w:rPr>
                <w:rStyle w:val="Firstpagetablebold"/>
                <w:b w:val="0"/>
                <w:color w:val="auto"/>
              </w:rPr>
              <w:t xml:space="preserve">) and </w:t>
            </w:r>
            <w:r w:rsidR="006370A9" w:rsidRPr="00D44EFC">
              <w:rPr>
                <w:rStyle w:val="Firstpagetablebold"/>
                <w:b w:val="0"/>
                <w:color w:val="auto"/>
              </w:rPr>
              <w:t>in line with the funding sources and viability assessment set out in this report</w:t>
            </w:r>
            <w:r w:rsidR="00B1556E" w:rsidRPr="00D44EFC">
              <w:rPr>
                <w:rStyle w:val="Firstpagetablebold"/>
                <w:b w:val="0"/>
                <w:color w:val="auto"/>
              </w:rPr>
              <w:t xml:space="preserve">. </w:t>
            </w:r>
            <w:r w:rsidR="00D86969" w:rsidRPr="00D44EFC">
              <w:rPr>
                <w:rStyle w:val="Firstpagetablebold"/>
                <w:b w:val="0"/>
                <w:color w:val="auto"/>
              </w:rPr>
              <w:t xml:space="preserve">(paragraphs </w:t>
            </w:r>
            <w:r w:rsidR="00AC6C59" w:rsidRPr="00D44EFC">
              <w:rPr>
                <w:rStyle w:val="Firstpagetablebold"/>
                <w:b w:val="0"/>
                <w:color w:val="auto"/>
              </w:rPr>
              <w:t xml:space="preserve">57 </w:t>
            </w:r>
            <w:r w:rsidR="00D86969" w:rsidRPr="00D44EFC">
              <w:rPr>
                <w:rStyle w:val="Firstpagetablebold"/>
                <w:b w:val="0"/>
                <w:color w:val="auto"/>
              </w:rPr>
              <w:t xml:space="preserve">– </w:t>
            </w:r>
            <w:r w:rsidR="00FC3658" w:rsidRPr="00D44EFC">
              <w:rPr>
                <w:rStyle w:val="Firstpagetablebold"/>
                <w:b w:val="0"/>
                <w:color w:val="auto"/>
              </w:rPr>
              <w:t>62</w:t>
            </w:r>
            <w:r w:rsidR="00D86969" w:rsidRPr="00D44EFC">
              <w:rPr>
                <w:rStyle w:val="Firstpagetablebold"/>
                <w:b w:val="0"/>
                <w:color w:val="auto"/>
              </w:rPr>
              <w:t>)</w:t>
            </w:r>
            <w:r w:rsidR="00D44EFC">
              <w:rPr>
                <w:rStyle w:val="Firstpagetablebold"/>
                <w:color w:val="auto"/>
              </w:rPr>
              <w:t>;</w:t>
            </w:r>
          </w:p>
        </w:tc>
      </w:tr>
      <w:tr w:rsidR="00B1556E" w:rsidRPr="00975B07" w14:paraId="0AF01997" w14:textId="77777777" w:rsidTr="00B9394D">
        <w:trPr>
          <w:trHeight w:val="283"/>
        </w:trPr>
        <w:tc>
          <w:tcPr>
            <w:tcW w:w="426" w:type="dxa"/>
            <w:tcBorders>
              <w:top w:val="nil"/>
              <w:left w:val="single" w:sz="8" w:space="0" w:color="000000"/>
              <w:bottom w:val="nil"/>
              <w:right w:val="nil"/>
            </w:tcBorders>
          </w:tcPr>
          <w:p w14:paraId="220DB8F8" w14:textId="2A23451F" w:rsidR="00B1556E" w:rsidRDefault="00F126C8" w:rsidP="004A6D2F">
            <w:r>
              <w:t>6.</w:t>
            </w:r>
          </w:p>
        </w:tc>
        <w:tc>
          <w:tcPr>
            <w:tcW w:w="8419" w:type="dxa"/>
            <w:gridSpan w:val="2"/>
            <w:tcBorders>
              <w:top w:val="nil"/>
              <w:left w:val="nil"/>
              <w:bottom w:val="nil"/>
              <w:right w:val="single" w:sz="8" w:space="0" w:color="000000"/>
            </w:tcBorders>
            <w:shd w:val="clear" w:color="auto" w:fill="auto"/>
          </w:tcPr>
          <w:p w14:paraId="037DC4B6" w14:textId="7D332278" w:rsidR="00B1556E" w:rsidRDefault="00FA4AC0" w:rsidP="00FA4AC0">
            <w:pPr>
              <w:rPr>
                <w:rStyle w:val="Firstpagetablebold"/>
                <w:color w:val="auto"/>
              </w:rPr>
            </w:pPr>
            <w:r>
              <w:rPr>
                <w:rStyle w:val="Firstpagetablebold"/>
                <w:color w:val="auto"/>
              </w:rPr>
              <w:t xml:space="preserve">Recommend to </w:t>
            </w:r>
            <w:r w:rsidR="00B1556E">
              <w:rPr>
                <w:rStyle w:val="Firstpagetablebold"/>
                <w:color w:val="auto"/>
              </w:rPr>
              <w:t xml:space="preserve"> Council </w:t>
            </w:r>
            <w:r w:rsidR="00B1556E" w:rsidRPr="00D44EFC">
              <w:rPr>
                <w:rStyle w:val="Firstpagetablebold"/>
                <w:b w:val="0"/>
                <w:color w:val="auto"/>
              </w:rPr>
              <w:t xml:space="preserve">to allocate the HRA and General Fund spend in accordance with the profile set out in the report.(paragraphs </w:t>
            </w:r>
            <w:r w:rsidR="00452884" w:rsidRPr="00D44EFC">
              <w:rPr>
                <w:rStyle w:val="Firstpagetablebold"/>
                <w:b w:val="0"/>
                <w:color w:val="auto"/>
              </w:rPr>
              <w:t>63-64</w:t>
            </w:r>
            <w:r w:rsidR="00B1556E" w:rsidRPr="00D44EFC">
              <w:rPr>
                <w:rStyle w:val="Firstpagetablebold"/>
                <w:b w:val="0"/>
                <w:color w:val="auto"/>
              </w:rPr>
              <w:t xml:space="preserve">) </w:t>
            </w:r>
            <w:r w:rsidR="007C08FF" w:rsidRPr="00D44EFC">
              <w:rPr>
                <w:rStyle w:val="Firstpagetablebold"/>
                <w:b w:val="0"/>
                <w:color w:val="auto"/>
              </w:rPr>
              <w:t>and which will supersede any current budget held for this project</w:t>
            </w:r>
            <w:r w:rsidR="00D44EFC">
              <w:rPr>
                <w:rStyle w:val="Firstpagetablebold"/>
                <w:b w:val="0"/>
                <w:color w:val="auto"/>
              </w:rPr>
              <w:t xml:space="preserve">; and </w:t>
            </w:r>
          </w:p>
        </w:tc>
      </w:tr>
      <w:tr w:rsidR="00B9394D" w:rsidRPr="00975B07" w14:paraId="61326534" w14:textId="77777777" w:rsidTr="00A46E98">
        <w:trPr>
          <w:trHeight w:val="283"/>
        </w:trPr>
        <w:tc>
          <w:tcPr>
            <w:tcW w:w="426" w:type="dxa"/>
            <w:tcBorders>
              <w:top w:val="nil"/>
              <w:left w:val="single" w:sz="8" w:space="0" w:color="000000"/>
              <w:bottom w:val="single" w:sz="8" w:space="0" w:color="000000"/>
              <w:right w:val="nil"/>
            </w:tcBorders>
          </w:tcPr>
          <w:p w14:paraId="04FA83F3" w14:textId="65615F3E" w:rsidR="00B9394D" w:rsidRDefault="00B9394D" w:rsidP="004A6D2F">
            <w:r>
              <w:t>7</w:t>
            </w:r>
          </w:p>
        </w:tc>
        <w:tc>
          <w:tcPr>
            <w:tcW w:w="8419" w:type="dxa"/>
            <w:gridSpan w:val="2"/>
            <w:tcBorders>
              <w:top w:val="nil"/>
              <w:left w:val="nil"/>
              <w:bottom w:val="single" w:sz="8" w:space="0" w:color="000000"/>
              <w:right w:val="single" w:sz="8" w:space="0" w:color="000000"/>
            </w:tcBorders>
            <w:shd w:val="clear" w:color="auto" w:fill="auto"/>
          </w:tcPr>
          <w:p w14:paraId="19A4C551" w14:textId="5B885870" w:rsidR="00B9394D" w:rsidRDefault="00B9394D" w:rsidP="00B9394D">
            <w:pPr>
              <w:rPr>
                <w:rStyle w:val="Firstpagetablebold"/>
                <w:color w:val="auto"/>
              </w:rPr>
            </w:pPr>
            <w:r>
              <w:rPr>
                <w:rStyle w:val="Firstpagetablebold"/>
                <w:color w:val="auto"/>
              </w:rPr>
              <w:t xml:space="preserve">Commit </w:t>
            </w:r>
            <w:r w:rsidRPr="00D44EFC">
              <w:rPr>
                <w:rStyle w:val="Firstpagetablebold"/>
                <w:b w:val="0"/>
                <w:color w:val="auto"/>
              </w:rPr>
              <w:t>to the fullest ongoing engagement with the local community as part of the detailed design and planning stage and prior to submission of the planning application.</w:t>
            </w:r>
          </w:p>
        </w:tc>
      </w:tr>
    </w:tbl>
    <w:p w14:paraId="4C3EFC49" w14:textId="309BC51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5A9A0BD8"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27614B7F" w14:textId="77777777" w:rsidR="00966D42" w:rsidRPr="00975B07" w:rsidRDefault="00966D42" w:rsidP="00263EA3">
            <w:pPr>
              <w:jc w:val="center"/>
            </w:pPr>
            <w:r w:rsidRPr="00745BF0">
              <w:rPr>
                <w:rStyle w:val="Firstpagetablebold"/>
              </w:rPr>
              <w:t>Appendices</w:t>
            </w:r>
          </w:p>
        </w:tc>
      </w:tr>
      <w:tr w:rsidR="00ED5860" w:rsidRPr="00975B07" w14:paraId="48F0D74D" w14:textId="77777777" w:rsidTr="00A46E98">
        <w:tc>
          <w:tcPr>
            <w:tcW w:w="2438" w:type="dxa"/>
            <w:tcBorders>
              <w:top w:val="single" w:sz="8" w:space="0" w:color="000000"/>
              <w:left w:val="single" w:sz="8" w:space="0" w:color="000000"/>
              <w:bottom w:val="nil"/>
              <w:right w:val="nil"/>
            </w:tcBorders>
            <w:shd w:val="clear" w:color="auto" w:fill="auto"/>
          </w:tcPr>
          <w:p w14:paraId="62C54CF6"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46265DFF" w14:textId="43E27285" w:rsidR="00ED5860" w:rsidRPr="001356F1" w:rsidRDefault="0098172D" w:rsidP="005C06E9">
            <w:r>
              <w:t>Concept Masterplan</w:t>
            </w:r>
            <w:r w:rsidR="005D3E79">
              <w:t xml:space="preserve"> </w:t>
            </w:r>
          </w:p>
        </w:tc>
      </w:tr>
      <w:tr w:rsidR="00ED5860" w:rsidRPr="00975B07" w14:paraId="04B1B51B" w14:textId="77777777" w:rsidTr="00A46E98">
        <w:tc>
          <w:tcPr>
            <w:tcW w:w="2438" w:type="dxa"/>
            <w:tcBorders>
              <w:top w:val="nil"/>
              <w:left w:val="single" w:sz="8" w:space="0" w:color="000000"/>
              <w:bottom w:val="nil"/>
              <w:right w:val="nil"/>
            </w:tcBorders>
            <w:shd w:val="clear" w:color="auto" w:fill="auto"/>
          </w:tcPr>
          <w:p w14:paraId="5A8092BE"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118A60D6" w14:textId="27D8B7CF" w:rsidR="00ED5860" w:rsidRPr="001356F1" w:rsidRDefault="0089068A" w:rsidP="004A6D2F">
            <w:r>
              <w:t>Strategic Outline Business Case</w:t>
            </w:r>
            <w:r w:rsidR="003C7430">
              <w:t xml:space="preserve"> - Confidential</w:t>
            </w:r>
          </w:p>
        </w:tc>
      </w:tr>
      <w:tr w:rsidR="006927B0" w:rsidRPr="00975B07" w14:paraId="3F13A0AE" w14:textId="77777777" w:rsidTr="002F2511">
        <w:tc>
          <w:tcPr>
            <w:tcW w:w="2438" w:type="dxa"/>
            <w:tcBorders>
              <w:top w:val="nil"/>
              <w:left w:val="single" w:sz="8" w:space="0" w:color="000000"/>
              <w:bottom w:val="nil"/>
              <w:right w:val="nil"/>
            </w:tcBorders>
            <w:shd w:val="clear" w:color="auto" w:fill="auto"/>
          </w:tcPr>
          <w:p w14:paraId="307D8B9A" w14:textId="77777777" w:rsidR="006927B0" w:rsidRDefault="006927B0" w:rsidP="004A6D2F">
            <w:r>
              <w:t xml:space="preserve">Appendix </w:t>
            </w:r>
            <w:r w:rsidR="002F2511">
              <w:t>3</w:t>
            </w:r>
          </w:p>
        </w:tc>
        <w:tc>
          <w:tcPr>
            <w:tcW w:w="6406" w:type="dxa"/>
            <w:tcBorders>
              <w:top w:val="nil"/>
              <w:left w:val="nil"/>
              <w:bottom w:val="nil"/>
              <w:right w:val="single" w:sz="8" w:space="0" w:color="000000"/>
            </w:tcBorders>
          </w:tcPr>
          <w:p w14:paraId="5B614EA9" w14:textId="4010431C" w:rsidR="002F2511" w:rsidRDefault="00550CD5" w:rsidP="004A6D2F">
            <w:r>
              <w:t>Financial Summary Report</w:t>
            </w:r>
            <w:r w:rsidR="003C7430">
              <w:t xml:space="preserve"> - Confidential</w:t>
            </w:r>
          </w:p>
        </w:tc>
      </w:tr>
      <w:tr w:rsidR="00834EB5" w:rsidRPr="00975B07" w14:paraId="5AB0CB9C" w14:textId="77777777" w:rsidTr="00956F06">
        <w:tc>
          <w:tcPr>
            <w:tcW w:w="2438" w:type="dxa"/>
            <w:tcBorders>
              <w:top w:val="nil"/>
              <w:left w:val="single" w:sz="8" w:space="0" w:color="000000"/>
              <w:bottom w:val="nil"/>
              <w:right w:val="nil"/>
            </w:tcBorders>
            <w:shd w:val="clear" w:color="auto" w:fill="auto"/>
          </w:tcPr>
          <w:p w14:paraId="6F0813A4" w14:textId="77777777" w:rsidR="00834EB5" w:rsidRDefault="00834EB5" w:rsidP="00834EB5">
            <w:r>
              <w:t>Appendix 4</w:t>
            </w:r>
          </w:p>
        </w:tc>
        <w:tc>
          <w:tcPr>
            <w:tcW w:w="6406" w:type="dxa"/>
            <w:tcBorders>
              <w:top w:val="nil"/>
              <w:left w:val="nil"/>
              <w:bottom w:val="nil"/>
              <w:right w:val="single" w:sz="8" w:space="0" w:color="000000"/>
            </w:tcBorders>
          </w:tcPr>
          <w:p w14:paraId="23E67204" w14:textId="09778469" w:rsidR="00834EB5" w:rsidRPr="002650A4" w:rsidRDefault="00834EB5">
            <w:r w:rsidRPr="00C116A7">
              <w:t xml:space="preserve">Legal Report </w:t>
            </w:r>
            <w:r w:rsidR="005D3E79">
              <w:t>–</w:t>
            </w:r>
            <w:r w:rsidRPr="00C116A7">
              <w:t xml:space="preserve"> Confidential</w:t>
            </w:r>
          </w:p>
        </w:tc>
      </w:tr>
      <w:tr w:rsidR="00834EB5" w:rsidRPr="00975B07" w14:paraId="3FAF7B1B" w14:textId="77777777" w:rsidTr="00317C40">
        <w:tc>
          <w:tcPr>
            <w:tcW w:w="2438" w:type="dxa"/>
            <w:tcBorders>
              <w:top w:val="nil"/>
              <w:left w:val="single" w:sz="8" w:space="0" w:color="000000"/>
              <w:bottom w:val="nil"/>
              <w:right w:val="nil"/>
            </w:tcBorders>
            <w:shd w:val="clear" w:color="auto" w:fill="auto"/>
          </w:tcPr>
          <w:p w14:paraId="65DDC6B0" w14:textId="10C624F4" w:rsidR="00834EB5" w:rsidRDefault="00834EB5" w:rsidP="00834EB5">
            <w:r>
              <w:t>Appendix 5</w:t>
            </w:r>
          </w:p>
        </w:tc>
        <w:tc>
          <w:tcPr>
            <w:tcW w:w="6406" w:type="dxa"/>
            <w:tcBorders>
              <w:top w:val="nil"/>
              <w:left w:val="nil"/>
              <w:bottom w:val="nil"/>
              <w:right w:val="single" w:sz="8" w:space="0" w:color="000000"/>
            </w:tcBorders>
          </w:tcPr>
          <w:p w14:paraId="081C45D4" w14:textId="532935B8" w:rsidR="00834EB5" w:rsidRDefault="00834EB5" w:rsidP="00834EB5">
            <w:r w:rsidRPr="00C116A7">
              <w:t>Risk Register</w:t>
            </w:r>
            <w:r w:rsidR="005D3E79">
              <w:t xml:space="preserve"> </w:t>
            </w:r>
            <w:r w:rsidR="002F21E3">
              <w:t>- Confidential</w:t>
            </w:r>
          </w:p>
        </w:tc>
      </w:tr>
      <w:tr w:rsidR="00834EB5" w:rsidRPr="00975B07" w14:paraId="29E6C8CF" w14:textId="77777777" w:rsidTr="00317C40">
        <w:tc>
          <w:tcPr>
            <w:tcW w:w="2438" w:type="dxa"/>
            <w:tcBorders>
              <w:top w:val="nil"/>
              <w:left w:val="single" w:sz="8" w:space="0" w:color="000000"/>
              <w:bottom w:val="single" w:sz="8" w:space="0" w:color="000000"/>
              <w:right w:val="nil"/>
            </w:tcBorders>
            <w:shd w:val="clear" w:color="auto" w:fill="auto"/>
          </w:tcPr>
          <w:p w14:paraId="4BDDD851" w14:textId="19DCEFC0" w:rsidR="00834EB5" w:rsidRDefault="00834EB5" w:rsidP="00834EB5">
            <w:r>
              <w:t>Appendix 6</w:t>
            </w:r>
          </w:p>
        </w:tc>
        <w:tc>
          <w:tcPr>
            <w:tcW w:w="6406" w:type="dxa"/>
            <w:tcBorders>
              <w:top w:val="nil"/>
              <w:left w:val="nil"/>
              <w:bottom w:val="single" w:sz="8" w:space="0" w:color="000000"/>
              <w:right w:val="single" w:sz="8" w:space="0" w:color="000000"/>
            </w:tcBorders>
          </w:tcPr>
          <w:p w14:paraId="18C0721F" w14:textId="2B8CCD90" w:rsidR="00834EB5" w:rsidRDefault="00834EB5" w:rsidP="00834EB5">
            <w:r w:rsidRPr="00C116A7">
              <w:t>Equalities Impact Assessment</w:t>
            </w:r>
          </w:p>
        </w:tc>
      </w:tr>
    </w:tbl>
    <w:p w14:paraId="4B7FF670" w14:textId="77777777" w:rsidR="0040736F" w:rsidRPr="001356F1" w:rsidRDefault="00F66DCA" w:rsidP="00225CEE">
      <w:pPr>
        <w:pStyle w:val="Heading1"/>
        <w:ind w:left="142"/>
      </w:pPr>
      <w:r w:rsidRPr="001356F1">
        <w:t>Introduction and b</w:t>
      </w:r>
      <w:r w:rsidR="00151888" w:rsidRPr="001356F1">
        <w:t>ackground</w:t>
      </w:r>
      <w:r w:rsidR="00404032" w:rsidRPr="001356F1">
        <w:t xml:space="preserve"> </w:t>
      </w:r>
    </w:p>
    <w:p w14:paraId="071E0D91" w14:textId="12A1E7F2" w:rsidR="00035A04" w:rsidRPr="00035A04" w:rsidRDefault="007443EE" w:rsidP="00C0667D">
      <w:pPr>
        <w:pStyle w:val="ListParagraph"/>
        <w:numPr>
          <w:ilvl w:val="0"/>
          <w:numId w:val="9"/>
        </w:numPr>
        <w:tabs>
          <w:tab w:val="clear" w:pos="426"/>
          <w:tab w:val="left" w:pos="567"/>
        </w:tabs>
        <w:ind w:left="567" w:right="367" w:hanging="425"/>
        <w:jc w:val="both"/>
      </w:pPr>
      <w:r>
        <w:t xml:space="preserve">The </w:t>
      </w:r>
      <w:r w:rsidR="00035A04">
        <w:t xml:space="preserve">Blackbird Leys </w:t>
      </w:r>
      <w:r w:rsidR="007A3336">
        <w:t>District Centre was identified as a comprehensive regeneration site in the O</w:t>
      </w:r>
      <w:r w:rsidR="007A1A1E">
        <w:t xml:space="preserve">xford </w:t>
      </w:r>
      <w:r w:rsidR="007A3336">
        <w:t>C</w:t>
      </w:r>
      <w:r w:rsidR="007A1A1E">
        <w:t xml:space="preserve">ity </w:t>
      </w:r>
      <w:r w:rsidR="007A3336">
        <w:t>C</w:t>
      </w:r>
      <w:r w:rsidR="007A1A1E">
        <w:t>ouncil</w:t>
      </w:r>
      <w:r w:rsidR="007A3336">
        <w:t xml:space="preserve"> </w:t>
      </w:r>
      <w:r w:rsidR="007A3336" w:rsidRPr="002C6250">
        <w:rPr>
          <w:rFonts w:cs="Arial"/>
        </w:rPr>
        <w:t xml:space="preserve">Sites and Housing Plan (2013). The Leys </w:t>
      </w:r>
      <w:r w:rsidR="00BA670F">
        <w:t>has some of the most deprived areas in the country</w:t>
      </w:r>
      <w:r>
        <w:t xml:space="preserve"> and the retail and community centre buildings making up the District Centre are </w:t>
      </w:r>
      <w:r w:rsidR="00BA670F">
        <w:t xml:space="preserve">nearing the end of their </w:t>
      </w:r>
      <w:r>
        <w:t xml:space="preserve">design </w:t>
      </w:r>
      <w:r w:rsidR="00BA670F">
        <w:t>life.</w:t>
      </w:r>
      <w:r>
        <w:t xml:space="preserve"> </w:t>
      </w:r>
      <w:r w:rsidR="007A3336">
        <w:t>The key aspirations to create an identifiable district centre with improved amenity and public space, more homes and a new mul</w:t>
      </w:r>
      <w:r w:rsidR="002C6250">
        <w:t xml:space="preserve">ti-functional community facility form the basis this project. </w:t>
      </w:r>
    </w:p>
    <w:p w14:paraId="26FB3637" w14:textId="77777777" w:rsidR="000D31BF" w:rsidRDefault="00A3399C" w:rsidP="00C0667D">
      <w:pPr>
        <w:pStyle w:val="ListParagraph"/>
        <w:numPr>
          <w:ilvl w:val="0"/>
          <w:numId w:val="9"/>
        </w:numPr>
        <w:tabs>
          <w:tab w:val="clear" w:pos="426"/>
          <w:tab w:val="left" w:pos="567"/>
        </w:tabs>
        <w:ind w:left="567" w:right="367" w:hanging="425"/>
        <w:jc w:val="both"/>
      </w:pPr>
      <w:r>
        <w:t xml:space="preserve">In </w:t>
      </w:r>
      <w:r w:rsidR="0098172D">
        <w:t>October 2017</w:t>
      </w:r>
      <w:r>
        <w:t xml:space="preserve">, </w:t>
      </w:r>
      <w:r w:rsidR="006370A9">
        <w:t xml:space="preserve">Oxford City </w:t>
      </w:r>
      <w:r>
        <w:t xml:space="preserve">Council </w:t>
      </w:r>
      <w:r w:rsidR="00654277">
        <w:t xml:space="preserve">(OCC) </w:t>
      </w:r>
      <w:r>
        <w:t>undertook</w:t>
      </w:r>
      <w:r w:rsidR="000D31BF">
        <w:t xml:space="preserve"> </w:t>
      </w:r>
      <w:r>
        <w:t xml:space="preserve">an </w:t>
      </w:r>
      <w:r w:rsidR="000D31BF">
        <w:t xml:space="preserve">OJEU </w:t>
      </w:r>
      <w:r>
        <w:t>compl</w:t>
      </w:r>
      <w:r w:rsidR="0098172D">
        <w:t>ia</w:t>
      </w:r>
      <w:r>
        <w:t xml:space="preserve">nt </w:t>
      </w:r>
      <w:r w:rsidR="000D31BF">
        <w:t xml:space="preserve">‘Competitive Dialogue’ </w:t>
      </w:r>
      <w:r w:rsidR="005C0EDF">
        <w:t>process, which ultimately led to the appointment of</w:t>
      </w:r>
      <w:r w:rsidR="000D31BF">
        <w:t xml:space="preserve"> Catalyst </w:t>
      </w:r>
      <w:r>
        <w:t>Housing Limited</w:t>
      </w:r>
      <w:r w:rsidR="00654277">
        <w:t xml:space="preserve"> (CHL)</w:t>
      </w:r>
      <w:r>
        <w:t xml:space="preserve"> </w:t>
      </w:r>
      <w:r w:rsidR="004F44F1">
        <w:t xml:space="preserve">as the development partner </w:t>
      </w:r>
      <w:r>
        <w:t xml:space="preserve">for the Blackbird Leys Estate Regeneration project. </w:t>
      </w:r>
    </w:p>
    <w:p w14:paraId="0E5B9AD9" w14:textId="56F843F5" w:rsidR="005C0EDF" w:rsidRDefault="005C0EDF" w:rsidP="00C0667D">
      <w:pPr>
        <w:pStyle w:val="ListParagraph"/>
        <w:numPr>
          <w:ilvl w:val="0"/>
          <w:numId w:val="9"/>
        </w:numPr>
        <w:tabs>
          <w:tab w:val="clear" w:pos="426"/>
          <w:tab w:val="left" w:pos="567"/>
        </w:tabs>
        <w:ind w:left="567" w:right="367" w:hanging="425"/>
        <w:jc w:val="both"/>
      </w:pPr>
      <w:r>
        <w:t>Given the relative low</w:t>
      </w:r>
      <w:r w:rsidR="005B4381">
        <w:t xml:space="preserve"> land and property</w:t>
      </w:r>
      <w:r>
        <w:t xml:space="preserve"> values in the area the project has always had significant viability issues. Initial proposals from all bidders were based upon an indicative masterplan produced </w:t>
      </w:r>
      <w:r w:rsidR="00AF3FD4">
        <w:t xml:space="preserve">for the Council </w:t>
      </w:r>
      <w:r>
        <w:t xml:space="preserve">by Levitt Bernstein </w:t>
      </w:r>
      <w:r w:rsidR="00D81FC3">
        <w:t xml:space="preserve">and which </w:t>
      </w:r>
      <w:r w:rsidR="00E651D6">
        <w:t xml:space="preserve">the Council’s consultants </w:t>
      </w:r>
      <w:r w:rsidR="00D81FC3">
        <w:t>CBRE had assessed as having a deficit or negative land value</w:t>
      </w:r>
      <w:r w:rsidR="00B73361">
        <w:t xml:space="preserve">. </w:t>
      </w:r>
      <w:r>
        <w:t xml:space="preserve">Tenders were scored on a 60% Qualitative </w:t>
      </w:r>
      <w:r>
        <w:lastRenderedPageBreak/>
        <w:t xml:space="preserve">and 40% Quantitative (financial) basis. The selection of </w:t>
      </w:r>
      <w:r w:rsidR="005D688C">
        <w:t>CHL,</w:t>
      </w:r>
      <w:r>
        <w:t xml:space="preserve"> as the preferred development partner</w:t>
      </w:r>
      <w:r w:rsidR="005D688C">
        <w:t>,</w:t>
      </w:r>
      <w:r>
        <w:t xml:space="preserve"> was recommended after evaluation by Council advisers CBRE </w:t>
      </w:r>
      <w:r w:rsidRPr="000D31BF">
        <w:t>and a team of Council Officers</w:t>
      </w:r>
      <w:r>
        <w:t>.</w:t>
      </w:r>
    </w:p>
    <w:p w14:paraId="6B503984" w14:textId="77777777" w:rsidR="00C13759" w:rsidRDefault="00C13759" w:rsidP="00C13759">
      <w:pPr>
        <w:pStyle w:val="ListParagraph"/>
        <w:numPr>
          <w:ilvl w:val="0"/>
          <w:numId w:val="9"/>
        </w:numPr>
        <w:tabs>
          <w:tab w:val="clear" w:pos="426"/>
          <w:tab w:val="left" w:pos="567"/>
        </w:tabs>
        <w:ind w:left="567" w:right="367" w:hanging="425"/>
        <w:jc w:val="both"/>
      </w:pPr>
      <w:r>
        <w:t xml:space="preserve">It was agreed to proceed with CHL on the understanding that </w:t>
      </w:r>
      <w:r w:rsidR="00B73361">
        <w:t xml:space="preserve">the Development Agreement would allow for a stage where </w:t>
      </w:r>
      <w:r>
        <w:t>proposals would be developed to close the viability gap</w:t>
      </w:r>
      <w:r w:rsidR="00B73361">
        <w:t xml:space="preserve"> before moving forward to detailed design and planning</w:t>
      </w:r>
      <w:r>
        <w:t xml:space="preserve">. </w:t>
      </w:r>
    </w:p>
    <w:p w14:paraId="7FBB701D" w14:textId="77777777" w:rsidR="00964E7D" w:rsidRPr="000D31BF" w:rsidRDefault="00964E7D" w:rsidP="00C0667D">
      <w:pPr>
        <w:pStyle w:val="ListParagraph"/>
        <w:numPr>
          <w:ilvl w:val="0"/>
          <w:numId w:val="9"/>
        </w:numPr>
        <w:tabs>
          <w:tab w:val="clear" w:pos="426"/>
          <w:tab w:val="left" w:pos="567"/>
        </w:tabs>
        <w:ind w:left="567" w:right="367" w:hanging="425"/>
        <w:jc w:val="both"/>
      </w:pPr>
      <w:r w:rsidRPr="00601C10">
        <w:t xml:space="preserve">On 18 September 2018, the </w:t>
      </w:r>
      <w:r w:rsidR="00A3399C">
        <w:t xml:space="preserve">then </w:t>
      </w:r>
      <w:r w:rsidRPr="00601C10">
        <w:t xml:space="preserve">City Executive Board (CEB) delegated authority to the Regeneration and Economy Programme Director and the Head of Law and Governance, to finalise and enter into a Development Agreement with the </w:t>
      </w:r>
      <w:r w:rsidR="005C0EDF">
        <w:t xml:space="preserve">CHL. It also </w:t>
      </w:r>
      <w:r w:rsidRPr="00601C10">
        <w:t>delegate</w:t>
      </w:r>
      <w:r w:rsidR="005C0EDF">
        <w:t>d</w:t>
      </w:r>
      <w:r w:rsidRPr="00601C10">
        <w:t xml:space="preserve"> authority to the Regeneration and Economy Programme Director and the Head of Law and Governance, to agree external grant funding arrangements to support this project.</w:t>
      </w:r>
      <w:r>
        <w:t xml:space="preserve"> The Development Agreement was agreed in May 2018</w:t>
      </w:r>
      <w:r w:rsidR="00A3399C">
        <w:t>.</w:t>
      </w:r>
    </w:p>
    <w:p w14:paraId="54C90FC8" w14:textId="6BD08126" w:rsidR="00A3399C" w:rsidRDefault="00654277" w:rsidP="005C0EDF">
      <w:pPr>
        <w:pStyle w:val="ListParagraph"/>
        <w:numPr>
          <w:ilvl w:val="0"/>
          <w:numId w:val="9"/>
        </w:numPr>
        <w:tabs>
          <w:tab w:val="clear" w:pos="426"/>
          <w:tab w:val="left" w:pos="567"/>
        </w:tabs>
        <w:ind w:left="567" w:right="367" w:hanging="425"/>
        <w:jc w:val="both"/>
      </w:pPr>
      <w:r>
        <w:t xml:space="preserve">For the project to move forward, the scheme </w:t>
      </w:r>
      <w:r w:rsidR="005B4381">
        <w:t xml:space="preserve">as detailed in Appendix 1 and the associated Strategies set out in paragraphs 28-42 </w:t>
      </w:r>
      <w:r>
        <w:t>must be viable</w:t>
      </w:r>
      <w:r w:rsidR="00AF3FD4">
        <w:t xml:space="preserve"> and </w:t>
      </w:r>
      <w:r w:rsidR="005B4381">
        <w:t xml:space="preserve">the </w:t>
      </w:r>
      <w:r w:rsidR="00AF3FD4">
        <w:t>Development Agreement has been set up to ensure that both OCC and CHL work to achieve this</w:t>
      </w:r>
      <w:r w:rsidR="007D370C">
        <w:t xml:space="preserve"> via both parties agreeing the Financial Model</w:t>
      </w:r>
      <w:r>
        <w:t xml:space="preserve">. </w:t>
      </w:r>
      <w:r w:rsidR="00601C10">
        <w:t>T</w:t>
      </w:r>
      <w:r w:rsidR="00601C10" w:rsidRPr="00601C10">
        <w:t xml:space="preserve">he </w:t>
      </w:r>
      <w:r w:rsidR="00E67B5F">
        <w:t xml:space="preserve">Development Agreement sets out how the </w:t>
      </w:r>
      <w:r w:rsidR="00A3399C">
        <w:t>p</w:t>
      </w:r>
      <w:r w:rsidR="00601C10" w:rsidRPr="00601C10">
        <w:t>roject is to be bought forward</w:t>
      </w:r>
      <w:r w:rsidR="00042736">
        <w:t xml:space="preserve"> </w:t>
      </w:r>
      <w:r w:rsidR="00A3399C">
        <w:t xml:space="preserve">through a </w:t>
      </w:r>
      <w:r w:rsidR="009665A5">
        <w:t>s</w:t>
      </w:r>
      <w:r w:rsidR="00964E7D">
        <w:t>eries o</w:t>
      </w:r>
      <w:r w:rsidR="009665A5">
        <w:t>f</w:t>
      </w:r>
      <w:r w:rsidR="00964E7D">
        <w:t xml:space="preserve"> Gateways</w:t>
      </w:r>
      <w:r w:rsidR="00A3399C">
        <w:t>, where</w:t>
      </w:r>
      <w:r w:rsidR="00964E7D">
        <w:t xml:space="preserve"> at</w:t>
      </w:r>
      <w:r w:rsidR="00AB0614">
        <w:t xml:space="preserve"> key stages the </w:t>
      </w:r>
      <w:r w:rsidR="00A3399C">
        <w:t>schemes’ v</w:t>
      </w:r>
      <w:r w:rsidR="00964E7D">
        <w:t xml:space="preserve">iability is </w:t>
      </w:r>
      <w:r w:rsidR="005D688C">
        <w:t xml:space="preserve">tested </w:t>
      </w:r>
      <w:r w:rsidR="00C13759">
        <w:t xml:space="preserve">and </w:t>
      </w:r>
      <w:r w:rsidR="00964E7D">
        <w:t>agreed by</w:t>
      </w:r>
      <w:r w:rsidR="009665A5">
        <w:t xml:space="preserve"> both p</w:t>
      </w:r>
      <w:r w:rsidR="00964E7D">
        <w:t xml:space="preserve">arties. </w:t>
      </w:r>
      <w:r w:rsidR="00D81FC3">
        <w:t xml:space="preserve">This is illustrated in the </w:t>
      </w:r>
      <w:r w:rsidR="00452884">
        <w:t>Strategic Outline Business Case</w:t>
      </w:r>
      <w:r w:rsidR="00D81FC3">
        <w:t>.</w:t>
      </w:r>
    </w:p>
    <w:p w14:paraId="406F4040" w14:textId="77777777" w:rsidR="00AF3FD4" w:rsidRDefault="00AF3FD4" w:rsidP="005C0EDF">
      <w:pPr>
        <w:pStyle w:val="ListParagraph"/>
        <w:numPr>
          <w:ilvl w:val="0"/>
          <w:numId w:val="9"/>
        </w:numPr>
        <w:tabs>
          <w:tab w:val="clear" w:pos="426"/>
          <w:tab w:val="left" w:pos="567"/>
        </w:tabs>
        <w:ind w:left="567" w:right="367" w:hanging="425"/>
        <w:jc w:val="both"/>
      </w:pPr>
      <w:r>
        <w:t xml:space="preserve">To this end, officers have been working with CHL </w:t>
      </w:r>
      <w:r w:rsidR="00C13759">
        <w:t xml:space="preserve">throughout Stage One </w:t>
      </w:r>
      <w:r>
        <w:t xml:space="preserve">to achieve scheme efficiencies, alongside assumptions around housing grant and other internal and external </w:t>
      </w:r>
      <w:r w:rsidR="00C13759">
        <w:t>subsidy to close the viability gap</w:t>
      </w:r>
      <w:r>
        <w:t xml:space="preserve">. </w:t>
      </w:r>
    </w:p>
    <w:p w14:paraId="0700B3DD" w14:textId="2DED346F" w:rsidR="00C13759" w:rsidRDefault="00B73361" w:rsidP="005C0EDF">
      <w:pPr>
        <w:pStyle w:val="ListParagraph"/>
        <w:numPr>
          <w:ilvl w:val="0"/>
          <w:numId w:val="9"/>
        </w:numPr>
        <w:tabs>
          <w:tab w:val="clear" w:pos="426"/>
          <w:tab w:val="left" w:pos="567"/>
        </w:tabs>
        <w:ind w:left="567" w:right="367" w:hanging="425"/>
        <w:jc w:val="both"/>
      </w:pPr>
      <w:r>
        <w:t>O</w:t>
      </w:r>
      <w:r w:rsidR="00A3399C">
        <w:t xml:space="preserve">fficers are now ready to recommend the Council can move forward through Gateway One and into Stage Two of the Development Agreement, which will see the </w:t>
      </w:r>
      <w:r w:rsidR="009665A5">
        <w:t xml:space="preserve">preparation of the </w:t>
      </w:r>
      <w:r w:rsidR="00654277">
        <w:t>d</w:t>
      </w:r>
      <w:r w:rsidR="009665A5">
        <w:t xml:space="preserve">etailed </w:t>
      </w:r>
      <w:r w:rsidR="00654277">
        <w:t>d</w:t>
      </w:r>
      <w:r w:rsidR="009665A5">
        <w:t>esign</w:t>
      </w:r>
      <w:r>
        <w:t xml:space="preserve">, working with local residents, and </w:t>
      </w:r>
      <w:r w:rsidR="007A1A1E">
        <w:t xml:space="preserve">the </w:t>
      </w:r>
      <w:r w:rsidR="00386ABF">
        <w:t xml:space="preserve">preparation of the </w:t>
      </w:r>
      <w:r>
        <w:t>planning application</w:t>
      </w:r>
      <w:r w:rsidR="009665A5">
        <w:t xml:space="preserve">. </w:t>
      </w:r>
    </w:p>
    <w:p w14:paraId="4100EC3E" w14:textId="77777777" w:rsidR="003823B1" w:rsidRDefault="00C13759" w:rsidP="005C0EDF">
      <w:pPr>
        <w:pStyle w:val="ListParagraph"/>
        <w:numPr>
          <w:ilvl w:val="0"/>
          <w:numId w:val="9"/>
        </w:numPr>
        <w:tabs>
          <w:tab w:val="clear" w:pos="426"/>
          <w:tab w:val="left" w:pos="567"/>
        </w:tabs>
        <w:ind w:left="567" w:right="367" w:hanging="425"/>
        <w:jc w:val="both"/>
      </w:pPr>
      <w:r>
        <w:t>The</w:t>
      </w:r>
      <w:r w:rsidR="00B73361">
        <w:t xml:space="preserve"> Development Agreement requires two further viability tests.</w:t>
      </w:r>
      <w:r>
        <w:t xml:space="preserve"> </w:t>
      </w:r>
      <w:r w:rsidR="00B73361">
        <w:t xml:space="preserve">The </w:t>
      </w:r>
      <w:r w:rsidR="009665A5">
        <w:t xml:space="preserve">Gateway Two </w:t>
      </w:r>
      <w:r>
        <w:t xml:space="preserve">viability test </w:t>
      </w:r>
      <w:r w:rsidR="00AB0614">
        <w:t xml:space="preserve">is prior to submission of the planning application and </w:t>
      </w:r>
      <w:r>
        <w:t xml:space="preserve">the </w:t>
      </w:r>
      <w:r w:rsidR="00AB0614">
        <w:t xml:space="preserve">Gateway Three </w:t>
      </w:r>
      <w:r>
        <w:t xml:space="preserve">viability test will </w:t>
      </w:r>
      <w:r w:rsidR="00AB0614">
        <w:t>follow the planning decision</w:t>
      </w:r>
      <w:r>
        <w:t xml:space="preserve">. </w:t>
      </w:r>
      <w:r w:rsidR="00B73361">
        <w:t xml:space="preserve">These tests will allow for any scheme changes that might affect viability, alongside any changes or firming up of assumptions, including around costs, values or housing grant rates. </w:t>
      </w:r>
    </w:p>
    <w:p w14:paraId="5B73E0E3" w14:textId="265A4BE9" w:rsidR="00042736" w:rsidRDefault="003823B1" w:rsidP="005C0EDF">
      <w:pPr>
        <w:pStyle w:val="ListParagraph"/>
        <w:numPr>
          <w:ilvl w:val="0"/>
          <w:numId w:val="9"/>
        </w:numPr>
        <w:tabs>
          <w:tab w:val="clear" w:pos="426"/>
          <w:tab w:val="left" w:pos="567"/>
        </w:tabs>
        <w:ind w:left="567" w:right="367" w:hanging="425"/>
        <w:jc w:val="both"/>
      </w:pPr>
      <w:r>
        <w:t xml:space="preserve">Following Gateway Three, the </w:t>
      </w:r>
      <w:r w:rsidR="00C13759">
        <w:t xml:space="preserve">costs and values will be fixed, including the level of subsidy to CHL. This will then enable OCC to </w:t>
      </w:r>
      <w:r w:rsidR="0008085B">
        <w:t>grant</w:t>
      </w:r>
      <w:r w:rsidR="00AB0614">
        <w:t xml:space="preserve"> </w:t>
      </w:r>
      <w:r w:rsidR="00C13759">
        <w:t xml:space="preserve">a </w:t>
      </w:r>
      <w:r w:rsidR="00AB0614">
        <w:t xml:space="preserve">lease </w:t>
      </w:r>
      <w:r w:rsidR="005B4381">
        <w:t xml:space="preserve">of the land </w:t>
      </w:r>
      <w:r w:rsidR="00AB0614">
        <w:t xml:space="preserve">to </w:t>
      </w:r>
      <w:r w:rsidR="00C13759">
        <w:t xml:space="preserve">CHL and for the </w:t>
      </w:r>
      <w:r w:rsidR="00AB0614">
        <w:t>building work</w:t>
      </w:r>
      <w:r w:rsidR="00C13759">
        <w:t xml:space="preserve"> to begin</w:t>
      </w:r>
      <w:r w:rsidR="00AB0614">
        <w:t xml:space="preserve">. </w:t>
      </w:r>
    </w:p>
    <w:p w14:paraId="6AC44420" w14:textId="77777777" w:rsidR="00633578" w:rsidRPr="00A148C2" w:rsidRDefault="00932F13" w:rsidP="00874CA8">
      <w:pPr>
        <w:pStyle w:val="ListParagraph"/>
        <w:numPr>
          <w:ilvl w:val="0"/>
          <w:numId w:val="0"/>
        </w:numPr>
        <w:tabs>
          <w:tab w:val="clear" w:pos="426"/>
          <w:tab w:val="left" w:pos="567"/>
        </w:tabs>
        <w:ind w:left="567" w:right="367"/>
        <w:jc w:val="both"/>
        <w:rPr>
          <w:b/>
        </w:rPr>
      </w:pPr>
      <w:r w:rsidRPr="00A148C2">
        <w:rPr>
          <w:b/>
        </w:rPr>
        <w:t>Project Summary</w:t>
      </w:r>
    </w:p>
    <w:p w14:paraId="067676D7" w14:textId="640A31BE" w:rsidR="003823B1" w:rsidRDefault="003823B1" w:rsidP="003823B1">
      <w:pPr>
        <w:pStyle w:val="ListParagraph"/>
        <w:numPr>
          <w:ilvl w:val="0"/>
          <w:numId w:val="9"/>
        </w:numPr>
        <w:tabs>
          <w:tab w:val="clear" w:pos="426"/>
          <w:tab w:val="left" w:pos="567"/>
        </w:tabs>
        <w:ind w:left="567" w:right="367" w:hanging="425"/>
        <w:jc w:val="both"/>
      </w:pPr>
      <w:r>
        <w:t xml:space="preserve">OCC and CHL have been working together to develop a masterplan with regard to layout, housing mix including tenure and type, phasing and viability. The masterplan ideas have included engagement with the community. The concept masterplan is set out as Appendix </w:t>
      </w:r>
      <w:r w:rsidR="00B05127">
        <w:t>1</w:t>
      </w:r>
      <w:r>
        <w:t xml:space="preserve"> to this report. </w:t>
      </w:r>
      <w:r w:rsidR="00C4485B">
        <w:t>T</w:t>
      </w:r>
      <w:r>
        <w:t>his masterplan is subject to change during the detailed design and planning stage</w:t>
      </w:r>
      <w:r w:rsidR="00C4485B">
        <w:t xml:space="preserve"> and will be informed by further engagement with local people</w:t>
      </w:r>
      <w:r>
        <w:t xml:space="preserve">. </w:t>
      </w:r>
    </w:p>
    <w:p w14:paraId="09B9C949" w14:textId="491F58AE" w:rsidR="004F44F1" w:rsidRDefault="004F44F1" w:rsidP="005C0EDF">
      <w:pPr>
        <w:pStyle w:val="ListParagraph"/>
        <w:numPr>
          <w:ilvl w:val="0"/>
          <w:numId w:val="9"/>
        </w:numPr>
        <w:tabs>
          <w:tab w:val="clear" w:pos="426"/>
          <w:tab w:val="left" w:pos="567"/>
        </w:tabs>
        <w:ind w:left="567" w:right="367" w:hanging="425"/>
        <w:jc w:val="both"/>
      </w:pPr>
      <w:r>
        <w:t xml:space="preserve">The </w:t>
      </w:r>
      <w:r w:rsidR="003823B1">
        <w:t>m</w:t>
      </w:r>
      <w:r>
        <w:t xml:space="preserve">asterplan </w:t>
      </w:r>
      <w:r w:rsidR="003823B1">
        <w:t xml:space="preserve">is set over two sites in Blackbird Leys, the District Centre and Knights Road. It </w:t>
      </w:r>
      <w:r>
        <w:t xml:space="preserve">proposes a new </w:t>
      </w:r>
      <w:r w:rsidR="003823B1">
        <w:t xml:space="preserve">redeveloped </w:t>
      </w:r>
      <w:r>
        <w:t>District Centre</w:t>
      </w:r>
      <w:r w:rsidR="003823B1">
        <w:t>,</w:t>
      </w:r>
      <w:r>
        <w:t xml:space="preserve"> including new </w:t>
      </w:r>
      <w:r>
        <w:lastRenderedPageBreak/>
        <w:t>shops and community centre to replace the existing</w:t>
      </w:r>
      <w:r w:rsidR="003823B1">
        <w:t xml:space="preserve"> offer,</w:t>
      </w:r>
      <w:r>
        <w:t xml:space="preserve"> </w:t>
      </w:r>
      <w:r w:rsidR="007C5F9E">
        <w:t>and</w:t>
      </w:r>
      <w:r>
        <w:t xml:space="preserve"> </w:t>
      </w:r>
      <w:r w:rsidR="00F8457C">
        <w:t xml:space="preserve">203 </w:t>
      </w:r>
      <w:r>
        <w:t>affordable homes</w:t>
      </w:r>
      <w:r w:rsidR="003823B1">
        <w:t>,</w:t>
      </w:r>
      <w:r>
        <w:t xml:space="preserve"> with a mix of social rent and shared ownership. At Knights Road there is a new development of </w:t>
      </w:r>
      <w:r w:rsidR="006B2838">
        <w:t xml:space="preserve">74 market sale and </w:t>
      </w:r>
      <w:r>
        <w:t>10 shared ownership</w:t>
      </w:r>
      <w:r w:rsidR="006B2838">
        <w:t xml:space="preserve"> houses</w:t>
      </w:r>
      <w:r w:rsidR="00834EB5">
        <w:t>.</w:t>
      </w:r>
    </w:p>
    <w:p w14:paraId="376BAB52" w14:textId="20BA0E87" w:rsidR="004F44F1" w:rsidRDefault="00BB3A43" w:rsidP="005C0EDF">
      <w:pPr>
        <w:pStyle w:val="ListParagraph"/>
        <w:numPr>
          <w:ilvl w:val="0"/>
          <w:numId w:val="9"/>
        </w:numPr>
        <w:tabs>
          <w:tab w:val="clear" w:pos="426"/>
          <w:tab w:val="left" w:pos="567"/>
        </w:tabs>
        <w:ind w:left="567" w:right="367" w:hanging="425"/>
        <w:jc w:val="both"/>
      </w:pPr>
      <w:r>
        <w:t xml:space="preserve">The masterplan has evolved in order to improve the financial viability. Knights Road is predominantly market sale housing </w:t>
      </w:r>
      <w:r w:rsidR="00D81FC3">
        <w:t xml:space="preserve">with some shared ownership </w:t>
      </w:r>
      <w:r w:rsidR="00E651D6">
        <w:t xml:space="preserve">housing </w:t>
      </w:r>
      <w:r>
        <w:t xml:space="preserve">to improve </w:t>
      </w:r>
      <w:r w:rsidR="007C5F9E">
        <w:t>cash flow</w:t>
      </w:r>
      <w:r>
        <w:t xml:space="preserve"> to fund the District Centre. The District Centre development is wholly affordable</w:t>
      </w:r>
      <w:r w:rsidR="00135DA5">
        <w:t xml:space="preserve"> housing</w:t>
      </w:r>
      <w:r>
        <w:t xml:space="preserve"> </w:t>
      </w:r>
      <w:r w:rsidR="003823B1">
        <w:t xml:space="preserve">in order to secure housing </w:t>
      </w:r>
      <w:r>
        <w:t xml:space="preserve">grant. The District Centre has consolidated around the </w:t>
      </w:r>
      <w:r w:rsidR="007C5F9E">
        <w:t>existing</w:t>
      </w:r>
      <w:r>
        <w:t xml:space="preserve"> shop and community sites and around Evenlode Tower. Development around Windrush Tower and immediately south of the ‘</w:t>
      </w:r>
      <w:r w:rsidR="007C5F9E">
        <w:t>top shops</w:t>
      </w:r>
      <w:r>
        <w:t xml:space="preserve">’ site </w:t>
      </w:r>
      <w:r w:rsidR="007C5F9E">
        <w:t>has</w:t>
      </w:r>
      <w:r>
        <w:t xml:space="preserve"> been omitted as unviable.</w:t>
      </w:r>
      <w:r w:rsidR="005B7AD8">
        <w:t xml:space="preserve"> </w:t>
      </w:r>
    </w:p>
    <w:p w14:paraId="38982C4D" w14:textId="5299EF50" w:rsidR="00BB3A43" w:rsidRDefault="00BB3A43" w:rsidP="005C0EDF">
      <w:pPr>
        <w:pStyle w:val="ListParagraph"/>
        <w:numPr>
          <w:ilvl w:val="0"/>
          <w:numId w:val="9"/>
        </w:numPr>
        <w:tabs>
          <w:tab w:val="clear" w:pos="426"/>
          <w:tab w:val="left" w:pos="567"/>
        </w:tabs>
        <w:ind w:left="567" w:right="367" w:hanging="425"/>
        <w:jc w:val="both"/>
      </w:pPr>
      <w:r>
        <w:t xml:space="preserve">The resultant </w:t>
      </w:r>
      <w:r w:rsidR="003823B1">
        <w:t xml:space="preserve">concept </w:t>
      </w:r>
      <w:r>
        <w:t xml:space="preserve">masterplan provides </w:t>
      </w:r>
      <w:r w:rsidR="00B05127">
        <w:t xml:space="preserve">287 </w:t>
      </w:r>
      <w:r>
        <w:t>new homes.</w:t>
      </w:r>
      <w:r w:rsidR="00196678">
        <w:t xml:space="preserve"> </w:t>
      </w:r>
      <w:r w:rsidR="00537FB9">
        <w:t xml:space="preserve">12 flats above the ‘top shops’ will be demolished including 8 existing OCC </w:t>
      </w:r>
      <w:r w:rsidR="00EA6FE9">
        <w:t>flats</w:t>
      </w:r>
      <w:r w:rsidR="00537FB9">
        <w:t xml:space="preserve"> and 4 leasehold properties. The scheme therefore provides an additional </w:t>
      </w:r>
      <w:r w:rsidR="00196678">
        <w:t>27</w:t>
      </w:r>
      <w:r w:rsidR="00537FB9">
        <w:t>5</w:t>
      </w:r>
      <w:r w:rsidR="00196678">
        <w:t xml:space="preserve"> </w:t>
      </w:r>
      <w:r w:rsidR="00537FB9">
        <w:t>new homes</w:t>
      </w:r>
      <w:r w:rsidR="00196678">
        <w:t xml:space="preserve">. </w:t>
      </w:r>
      <w:r>
        <w:t xml:space="preserve">74% of the new housing is affordable with 52% social rent. 12% of the new homes are 3 bedroom. </w:t>
      </w:r>
      <w:r w:rsidR="00135DA5">
        <w:t>Details are included in Appendix 1.</w:t>
      </w:r>
    </w:p>
    <w:p w14:paraId="40E852B3" w14:textId="767EC3AD" w:rsidR="00DE4E97" w:rsidRDefault="00DE4E97" w:rsidP="005C0EDF">
      <w:pPr>
        <w:pStyle w:val="ListParagraph"/>
        <w:numPr>
          <w:ilvl w:val="0"/>
          <w:numId w:val="9"/>
        </w:numPr>
        <w:tabs>
          <w:tab w:val="clear" w:pos="426"/>
          <w:tab w:val="left" w:pos="567"/>
        </w:tabs>
        <w:ind w:left="567" w:right="367" w:hanging="425"/>
        <w:jc w:val="both"/>
      </w:pPr>
      <w:r>
        <w:t xml:space="preserve">The concept masterplan requires 8 </w:t>
      </w:r>
      <w:r w:rsidR="00135DA5">
        <w:t xml:space="preserve">existing </w:t>
      </w:r>
      <w:r>
        <w:t xml:space="preserve">OCC </w:t>
      </w:r>
      <w:r w:rsidR="00F8457C">
        <w:t>flats</w:t>
      </w:r>
      <w:r>
        <w:t>, located above the ‘top shops’ to be demolished. The decant strategy for affected tenants is set out below. CHL would retain ownership of all new units provided.</w:t>
      </w:r>
      <w:r w:rsidR="002F21E3">
        <w:t xml:space="preserve"> OCC will have allocation rights.</w:t>
      </w:r>
      <w:r>
        <w:t xml:space="preserve"> </w:t>
      </w:r>
    </w:p>
    <w:p w14:paraId="2BB976DE" w14:textId="4CDE07A8" w:rsidR="00BB3A43" w:rsidRDefault="00BB3A43" w:rsidP="005C0EDF">
      <w:pPr>
        <w:pStyle w:val="ListParagraph"/>
        <w:numPr>
          <w:ilvl w:val="0"/>
          <w:numId w:val="9"/>
        </w:numPr>
        <w:tabs>
          <w:tab w:val="clear" w:pos="426"/>
          <w:tab w:val="left" w:pos="567"/>
        </w:tabs>
        <w:ind w:left="567" w:right="367" w:hanging="425"/>
        <w:jc w:val="both"/>
      </w:pPr>
      <w:r>
        <w:t xml:space="preserve">The District Centre includes </w:t>
      </w:r>
      <w:r w:rsidR="00E772EB">
        <w:t xml:space="preserve">982sqm of new retail and a 1,200sqm new Community Centre. There is sufficient new space for existing retail </w:t>
      </w:r>
      <w:r w:rsidR="003823B1">
        <w:t xml:space="preserve">tenants </w:t>
      </w:r>
      <w:r w:rsidR="00E772EB">
        <w:t xml:space="preserve">and community centre users to be </w:t>
      </w:r>
      <w:r w:rsidR="00135DA5">
        <w:t>accommodated</w:t>
      </w:r>
      <w:r w:rsidR="00E772EB">
        <w:t xml:space="preserve"> within the new development.</w:t>
      </w:r>
    </w:p>
    <w:p w14:paraId="0511F453" w14:textId="7032F3F9" w:rsidR="00C14247" w:rsidRDefault="00DE4ACC" w:rsidP="005C0EDF">
      <w:pPr>
        <w:pStyle w:val="ListParagraph"/>
        <w:numPr>
          <w:ilvl w:val="0"/>
          <w:numId w:val="9"/>
        </w:numPr>
        <w:tabs>
          <w:tab w:val="clear" w:pos="426"/>
          <w:tab w:val="left" w:pos="567"/>
        </w:tabs>
        <w:ind w:left="567" w:right="367" w:hanging="425"/>
        <w:jc w:val="both"/>
      </w:pPr>
      <w:r>
        <w:t>The current indicative phasing would seek c</w:t>
      </w:r>
      <w:r w:rsidR="007C5F9E">
        <w:t>onstruction</w:t>
      </w:r>
      <w:r w:rsidR="00C14247">
        <w:t xml:space="preserve"> work be</w:t>
      </w:r>
      <w:r>
        <w:t>ing</w:t>
      </w:r>
      <w:r w:rsidR="00C14247">
        <w:t xml:space="preserve"> undertaken in two phase</w:t>
      </w:r>
      <w:r w:rsidR="005B4381">
        <w:t>s</w:t>
      </w:r>
      <w:r w:rsidR="00C14247">
        <w:t xml:space="preserve">. Phase One will include Knights Road, the new Shops and Community Centre and flats over the new shops and </w:t>
      </w:r>
      <w:r w:rsidR="00DF780D">
        <w:t xml:space="preserve">on </w:t>
      </w:r>
      <w:r w:rsidR="00C14247">
        <w:t>the Evenlode Site</w:t>
      </w:r>
      <w:r w:rsidR="00DF780D">
        <w:t xml:space="preserve"> adjacent the existing tower</w:t>
      </w:r>
      <w:r w:rsidR="00C14247">
        <w:t xml:space="preserve">. Phase Two will </w:t>
      </w:r>
      <w:r w:rsidR="00B8761C">
        <w:t>be</w:t>
      </w:r>
      <w:r w:rsidR="00C14247">
        <w:t xml:space="preserve"> the </w:t>
      </w:r>
      <w:r w:rsidR="00B8761C">
        <w:t xml:space="preserve">new homes on the </w:t>
      </w:r>
      <w:r w:rsidR="007C5F9E">
        <w:t>existing ‘to</w:t>
      </w:r>
      <w:r w:rsidR="00B8761C">
        <w:t>p shops</w:t>
      </w:r>
      <w:r w:rsidR="007C5F9E">
        <w:t>’</w:t>
      </w:r>
      <w:r w:rsidR="00B8761C">
        <w:t xml:space="preserve"> site.</w:t>
      </w:r>
      <w:r w:rsidR="00135DA5">
        <w:t xml:space="preserve"> Refer to Appendix 1.</w:t>
      </w:r>
    </w:p>
    <w:p w14:paraId="1CD6C72E" w14:textId="71697320" w:rsidR="00250B1A" w:rsidRDefault="00E772EB" w:rsidP="005C0EDF">
      <w:pPr>
        <w:pStyle w:val="ListParagraph"/>
        <w:numPr>
          <w:ilvl w:val="0"/>
          <w:numId w:val="9"/>
        </w:numPr>
        <w:tabs>
          <w:tab w:val="clear" w:pos="426"/>
          <w:tab w:val="left" w:pos="567"/>
        </w:tabs>
        <w:ind w:left="567" w:right="367" w:hanging="425"/>
        <w:jc w:val="both"/>
      </w:pPr>
      <w:r>
        <w:t xml:space="preserve">The masterplan </w:t>
      </w:r>
      <w:r w:rsidR="007D370C">
        <w:t xml:space="preserve">has been subject to formal pre-application advice </w:t>
      </w:r>
      <w:r w:rsidR="00552317">
        <w:t xml:space="preserve">and </w:t>
      </w:r>
      <w:r>
        <w:t>will continue to be developed in partnership with the community</w:t>
      </w:r>
      <w:r w:rsidR="00DE4ACC">
        <w:t xml:space="preserve"> towards a planning application</w:t>
      </w:r>
      <w:r>
        <w:t xml:space="preserve">. </w:t>
      </w:r>
      <w:r w:rsidR="0042528A">
        <w:t xml:space="preserve">A Planning Performance Agreement has been signed between OCC and CHL. </w:t>
      </w:r>
    </w:p>
    <w:p w14:paraId="76A3FDEF" w14:textId="3BA0F05A" w:rsidR="007C011E" w:rsidRDefault="007C011E" w:rsidP="007C011E">
      <w:pPr>
        <w:pStyle w:val="ListParagraph"/>
        <w:numPr>
          <w:ilvl w:val="0"/>
          <w:numId w:val="9"/>
        </w:numPr>
        <w:tabs>
          <w:tab w:val="clear" w:pos="426"/>
          <w:tab w:val="left" w:pos="567"/>
        </w:tabs>
        <w:ind w:left="567" w:right="367" w:hanging="425"/>
        <w:jc w:val="both"/>
      </w:pPr>
      <w:r>
        <w:t xml:space="preserve">The current project programme shows Stage </w:t>
      </w:r>
      <w:r w:rsidR="00C4485B">
        <w:t>Two</w:t>
      </w:r>
      <w:r>
        <w:t xml:space="preserve"> Detailed Design and Planning submission being submitted Jan</w:t>
      </w:r>
      <w:r w:rsidR="00DB28E4">
        <w:t>uary</w:t>
      </w:r>
      <w:r>
        <w:t xml:space="preserve"> 2021</w:t>
      </w:r>
      <w:r w:rsidR="00135DA5">
        <w:t xml:space="preserve"> with</w:t>
      </w:r>
      <w:r w:rsidR="00DB28E4">
        <w:t xml:space="preserve"> Stage 3 Planning Decision </w:t>
      </w:r>
      <w:r w:rsidR="00135DA5">
        <w:t xml:space="preserve">due </w:t>
      </w:r>
      <w:r w:rsidR="00DB28E4">
        <w:t>January</w:t>
      </w:r>
      <w:r>
        <w:t xml:space="preserve"> 2022. Construction of Phase One is to commenc</w:t>
      </w:r>
      <w:r w:rsidR="00DB28E4">
        <w:t>e Jan’ 2022 with completion January</w:t>
      </w:r>
      <w:r>
        <w:t xml:space="preserve"> 2024. Phase Two construction </w:t>
      </w:r>
      <w:r w:rsidR="00AF4803">
        <w:t xml:space="preserve">is </w:t>
      </w:r>
      <w:r>
        <w:t>to c</w:t>
      </w:r>
      <w:r w:rsidR="00DB28E4">
        <w:t xml:space="preserve">ommence May 2024 </w:t>
      </w:r>
      <w:r w:rsidR="00AF4803">
        <w:t xml:space="preserve">with </w:t>
      </w:r>
      <w:r w:rsidR="00DB28E4">
        <w:t>completion August</w:t>
      </w:r>
      <w:r>
        <w:t xml:space="preserve"> 2026. This programme is subject to change and will be firmed up through the gateway process. </w:t>
      </w:r>
    </w:p>
    <w:p w14:paraId="0C51ABF2" w14:textId="77777777" w:rsidR="00E22CFF" w:rsidRDefault="00E22CFF" w:rsidP="00C0667D">
      <w:pPr>
        <w:tabs>
          <w:tab w:val="left" w:pos="567"/>
        </w:tabs>
        <w:ind w:left="142" w:right="367"/>
        <w:jc w:val="both"/>
        <w:rPr>
          <w:b/>
        </w:rPr>
      </w:pPr>
      <w:r>
        <w:rPr>
          <w:b/>
        </w:rPr>
        <w:t xml:space="preserve">Outline Business Case summary </w:t>
      </w:r>
    </w:p>
    <w:p w14:paraId="0CDB2046" w14:textId="7825A819" w:rsidR="00AF4803" w:rsidRDefault="00901109" w:rsidP="0022019E">
      <w:pPr>
        <w:pStyle w:val="ListParagraph"/>
        <w:numPr>
          <w:ilvl w:val="0"/>
          <w:numId w:val="9"/>
        </w:numPr>
        <w:tabs>
          <w:tab w:val="clear" w:pos="426"/>
          <w:tab w:val="left" w:pos="567"/>
        </w:tabs>
        <w:spacing w:after="0"/>
        <w:ind w:left="567" w:right="367" w:hanging="425"/>
        <w:jc w:val="both"/>
      </w:pPr>
      <w:r w:rsidRPr="00901109">
        <w:t>T</w:t>
      </w:r>
      <w:r w:rsidRPr="00C0667D">
        <w:t xml:space="preserve">he Council has appointed </w:t>
      </w:r>
      <w:r w:rsidR="00B13A76" w:rsidRPr="00C0667D">
        <w:t>A</w:t>
      </w:r>
      <w:r w:rsidR="00B13A76">
        <w:t>mion</w:t>
      </w:r>
      <w:r w:rsidR="00B13A76" w:rsidRPr="00C0667D">
        <w:t xml:space="preserve"> </w:t>
      </w:r>
      <w:r w:rsidRPr="00C0667D">
        <w:t xml:space="preserve">Consulting to prepare a </w:t>
      </w:r>
      <w:r w:rsidR="0022019E">
        <w:t xml:space="preserve">Strategic </w:t>
      </w:r>
      <w:r w:rsidR="00E651D6">
        <w:t xml:space="preserve">Outline </w:t>
      </w:r>
      <w:r w:rsidRPr="00C0667D">
        <w:t>Business Case</w:t>
      </w:r>
      <w:r w:rsidR="0022019E">
        <w:t xml:space="preserve"> (S</w:t>
      </w:r>
      <w:r w:rsidR="00E651D6">
        <w:t>O</w:t>
      </w:r>
      <w:r w:rsidR="0022019E">
        <w:t>BC)</w:t>
      </w:r>
      <w:r w:rsidRPr="00C0667D">
        <w:t xml:space="preserve">.  </w:t>
      </w:r>
      <w:r w:rsidR="0022019E">
        <w:t xml:space="preserve">This </w:t>
      </w:r>
      <w:r w:rsidR="0022019E" w:rsidRPr="00B1556E">
        <w:t>confirms that the Stage One proposals meet the Business Case evaluation criteria and recommends that the project progresses to the next stage of development. An Outline Business Case will be required at the Stage Two Gateway.</w:t>
      </w:r>
      <w:r w:rsidR="0022019E">
        <w:t xml:space="preserve"> The S</w:t>
      </w:r>
      <w:r w:rsidR="00E651D6">
        <w:t>O</w:t>
      </w:r>
      <w:r w:rsidR="0022019E">
        <w:t xml:space="preserve">BC is set out as </w:t>
      </w:r>
      <w:r w:rsidR="0022019E" w:rsidRPr="00CB1F5C">
        <w:t xml:space="preserve">Appendix </w:t>
      </w:r>
      <w:r w:rsidR="00CB1F5C" w:rsidRPr="00CB1F5C">
        <w:t>2</w:t>
      </w:r>
      <w:r w:rsidR="0022019E" w:rsidRPr="00CB1F5C">
        <w:t xml:space="preserve"> to this</w:t>
      </w:r>
      <w:r w:rsidR="0022019E">
        <w:t xml:space="preserve"> document.</w:t>
      </w:r>
    </w:p>
    <w:p w14:paraId="4E8C016A" w14:textId="57AEC8C8" w:rsidR="0022019E" w:rsidRPr="002650A4" w:rsidRDefault="0022019E" w:rsidP="002650A4">
      <w:pPr>
        <w:pStyle w:val="ListParagraph"/>
        <w:numPr>
          <w:ilvl w:val="0"/>
          <w:numId w:val="0"/>
        </w:numPr>
        <w:tabs>
          <w:tab w:val="clear" w:pos="426"/>
          <w:tab w:val="left" w:pos="567"/>
        </w:tabs>
        <w:spacing w:after="0"/>
        <w:ind w:left="567" w:right="367"/>
        <w:jc w:val="both"/>
        <w:rPr>
          <w:sz w:val="16"/>
          <w:szCs w:val="16"/>
        </w:rPr>
      </w:pPr>
    </w:p>
    <w:p w14:paraId="4ADCE3CC" w14:textId="77777777" w:rsidR="00901109" w:rsidRPr="00C0667D" w:rsidRDefault="00901109" w:rsidP="00901109">
      <w:pPr>
        <w:pStyle w:val="ListParagraph"/>
        <w:numPr>
          <w:ilvl w:val="0"/>
          <w:numId w:val="9"/>
        </w:numPr>
        <w:tabs>
          <w:tab w:val="clear" w:pos="426"/>
          <w:tab w:val="left" w:pos="567"/>
        </w:tabs>
        <w:ind w:left="567" w:right="367" w:hanging="425"/>
        <w:jc w:val="both"/>
      </w:pPr>
      <w:r>
        <w:rPr>
          <w:iCs/>
        </w:rPr>
        <w:t>T</w:t>
      </w:r>
      <w:r w:rsidRPr="00C0667D">
        <w:rPr>
          <w:iCs/>
        </w:rPr>
        <w:t>he analysis has identified a strong evidence of need (</w:t>
      </w:r>
      <w:r w:rsidRPr="00C0667D">
        <w:rPr>
          <w:bCs/>
          <w:iCs/>
        </w:rPr>
        <w:t>Strategic Case</w:t>
      </w:r>
      <w:r w:rsidRPr="00C0667D">
        <w:rPr>
          <w:iCs/>
        </w:rPr>
        <w:t>).  Blackbird Leys is deprived not just in an Oxford context, but agains</w:t>
      </w:r>
      <w:r w:rsidRPr="00386ABF">
        <w:rPr>
          <w:iCs/>
        </w:rPr>
        <w:t xml:space="preserve">t a </w:t>
      </w:r>
      <w:r w:rsidRPr="00386ABF">
        <w:rPr>
          <w:iCs/>
        </w:rPr>
        <w:lastRenderedPageBreak/>
        <w:t>wider national background. </w:t>
      </w:r>
      <w:r w:rsidRPr="00C0667D">
        <w:rPr>
          <w:iCs/>
        </w:rPr>
        <w:t>This is supported by the Indices of Deprivation 2019, where the Blackbird Leys ward is in the 10% most deprived areas in the country.</w:t>
      </w:r>
    </w:p>
    <w:p w14:paraId="171BD983" w14:textId="2CF66630" w:rsidR="00901109" w:rsidRDefault="00901109" w:rsidP="00DB28E4">
      <w:pPr>
        <w:pStyle w:val="ListParagraph"/>
        <w:numPr>
          <w:ilvl w:val="0"/>
          <w:numId w:val="9"/>
        </w:numPr>
        <w:tabs>
          <w:tab w:val="clear" w:pos="426"/>
          <w:tab w:val="left" w:pos="567"/>
        </w:tabs>
        <w:ind w:left="567" w:right="367" w:hanging="425"/>
        <w:jc w:val="both"/>
      </w:pPr>
      <w:r w:rsidRPr="00386ABF">
        <w:t xml:space="preserve">The project has already been approved for </w:t>
      </w:r>
      <w:r w:rsidR="00DB28E4" w:rsidRPr="00DB28E4">
        <w:t xml:space="preserve">Housing and Infrastructure Funding </w:t>
      </w:r>
      <w:r w:rsidRPr="00386ABF">
        <w:t>HIF monies from central</w:t>
      </w:r>
      <w:r w:rsidR="00DB28E4">
        <w:t xml:space="preserve"> government. </w:t>
      </w:r>
      <w:r w:rsidRPr="00901109">
        <w:t>Their assessment process is underpinned by a similar HMT Green Book methodology, which is associated with a strong Economic Case.</w:t>
      </w:r>
    </w:p>
    <w:p w14:paraId="688B1440" w14:textId="38F76F2A" w:rsidR="00452884" w:rsidRDefault="00901109" w:rsidP="00C0667D">
      <w:pPr>
        <w:pStyle w:val="ListParagraph"/>
        <w:numPr>
          <w:ilvl w:val="0"/>
          <w:numId w:val="9"/>
        </w:numPr>
        <w:tabs>
          <w:tab w:val="clear" w:pos="426"/>
          <w:tab w:val="left" w:pos="567"/>
        </w:tabs>
        <w:ind w:left="567" w:right="367" w:hanging="425"/>
        <w:jc w:val="both"/>
      </w:pPr>
      <w:r w:rsidRPr="00901109">
        <w:t xml:space="preserve">CHL has been preparing development appraisals, and in line with best practice, these have been robustly tested by </w:t>
      </w:r>
      <w:r w:rsidR="00C4485B">
        <w:t xml:space="preserve">the Council’s commercial advisors, </w:t>
      </w:r>
      <w:r w:rsidRPr="00901109">
        <w:t xml:space="preserve">Montagu Evans. This ensures the public </w:t>
      </w:r>
      <w:r w:rsidR="00386ABF">
        <w:t>sector is maximising viability</w:t>
      </w:r>
      <w:r w:rsidR="00B1556E">
        <w:t>;</w:t>
      </w:r>
      <w:r w:rsidR="00386ABF">
        <w:t xml:space="preserve"> the Financial Case</w:t>
      </w:r>
      <w:r w:rsidRPr="00901109">
        <w:t>.</w:t>
      </w:r>
    </w:p>
    <w:p w14:paraId="3A94C772" w14:textId="07706884" w:rsidR="00452884" w:rsidRDefault="00901109">
      <w:pPr>
        <w:pStyle w:val="ListParagraph"/>
        <w:numPr>
          <w:ilvl w:val="0"/>
          <w:numId w:val="9"/>
        </w:numPr>
        <w:tabs>
          <w:tab w:val="clear" w:pos="426"/>
          <w:tab w:val="left" w:pos="567"/>
        </w:tabs>
        <w:ind w:left="567" w:right="367" w:hanging="425"/>
        <w:jc w:val="both"/>
      </w:pPr>
      <w:r w:rsidRPr="00901109">
        <w:t>The Commercial Case outline</w:t>
      </w:r>
      <w:r w:rsidR="00C4485B">
        <w:t>s</w:t>
      </w:r>
      <w:r w:rsidRPr="00901109">
        <w:t xml:space="preserve"> how the project will be delivered by CHL and the Counci</w:t>
      </w:r>
      <w:r w:rsidR="00386ABF">
        <w:t>l</w:t>
      </w:r>
      <w:r w:rsidR="00C4485B">
        <w:t xml:space="preserve">. </w:t>
      </w:r>
      <w:r w:rsidRPr="00901109">
        <w:t>The C</w:t>
      </w:r>
      <w:r w:rsidR="00386ABF">
        <w:t xml:space="preserve">ouncil has also appointed </w:t>
      </w:r>
      <w:r w:rsidR="00C4485B">
        <w:t xml:space="preserve">consultants </w:t>
      </w:r>
      <w:r w:rsidR="00386ABF">
        <w:t>Ridge</w:t>
      </w:r>
      <w:r w:rsidRPr="00901109">
        <w:t xml:space="preserve"> to review the costings provided by CHL, which again strengthens the due diligence process.</w:t>
      </w:r>
    </w:p>
    <w:p w14:paraId="0EAC95C3" w14:textId="75B2D2D4" w:rsidR="00107A9E" w:rsidRDefault="00901109" w:rsidP="00317C40">
      <w:pPr>
        <w:pStyle w:val="ListParagraph"/>
        <w:numPr>
          <w:ilvl w:val="0"/>
          <w:numId w:val="9"/>
        </w:numPr>
        <w:tabs>
          <w:tab w:val="clear" w:pos="426"/>
          <w:tab w:val="left" w:pos="567"/>
        </w:tabs>
        <w:ind w:left="567" w:right="367" w:hanging="425"/>
        <w:jc w:val="both"/>
      </w:pPr>
      <w:r>
        <w:t>T</w:t>
      </w:r>
      <w:r w:rsidRPr="00901109">
        <w:t xml:space="preserve">he Management Case </w:t>
      </w:r>
      <w:r w:rsidR="0022019E">
        <w:t xml:space="preserve">sets out </w:t>
      </w:r>
      <w:r w:rsidRPr="00901109">
        <w:t>how the delivery of the project will be planned, monitored and overseen to evaluat</w:t>
      </w:r>
      <w:r>
        <w:t>ion</w:t>
      </w:r>
      <w:r w:rsidR="0022019E">
        <w:t>. The</w:t>
      </w:r>
      <w:r w:rsidRPr="00901109">
        <w:t xml:space="preserve"> D</w:t>
      </w:r>
      <w:r w:rsidR="00DB28E4">
        <w:t xml:space="preserve">evelopment </w:t>
      </w:r>
      <w:r w:rsidRPr="00901109">
        <w:t>A</w:t>
      </w:r>
      <w:r w:rsidR="00DB28E4">
        <w:t>greement</w:t>
      </w:r>
      <w:r w:rsidR="0022019E">
        <w:t xml:space="preserve"> and </w:t>
      </w:r>
      <w:r w:rsidRPr="00B1556E">
        <w:t>the Council’s own internal mechanisms</w:t>
      </w:r>
      <w:r w:rsidR="0022019E">
        <w:t xml:space="preserve"> will </w:t>
      </w:r>
      <w:r w:rsidR="003C7430">
        <w:t xml:space="preserve">be </w:t>
      </w:r>
      <w:r w:rsidR="0022019E">
        <w:t>central to ensuring good management of the scheme moving forward</w:t>
      </w:r>
      <w:r w:rsidRPr="00B1556E">
        <w:t>.</w:t>
      </w:r>
    </w:p>
    <w:p w14:paraId="7A3DD33F" w14:textId="77777777" w:rsidR="00452884" w:rsidRPr="002650A4" w:rsidRDefault="00452884" w:rsidP="006D2874">
      <w:pPr>
        <w:pStyle w:val="ListParagraph"/>
        <w:numPr>
          <w:ilvl w:val="0"/>
          <w:numId w:val="0"/>
        </w:numPr>
        <w:tabs>
          <w:tab w:val="clear" w:pos="426"/>
          <w:tab w:val="left" w:pos="567"/>
        </w:tabs>
        <w:spacing w:after="0"/>
        <w:ind w:left="567" w:right="367"/>
        <w:jc w:val="both"/>
        <w:rPr>
          <w:b/>
          <w:sz w:val="16"/>
          <w:szCs w:val="16"/>
        </w:rPr>
      </w:pPr>
    </w:p>
    <w:p w14:paraId="0DFA0E85" w14:textId="77777777" w:rsidR="007C011E" w:rsidRPr="00C0667D" w:rsidRDefault="007C011E" w:rsidP="00C0667D">
      <w:pPr>
        <w:tabs>
          <w:tab w:val="left" w:pos="567"/>
        </w:tabs>
        <w:ind w:left="142" w:right="367"/>
        <w:jc w:val="both"/>
        <w:rPr>
          <w:b/>
        </w:rPr>
      </w:pPr>
      <w:r w:rsidRPr="00C0667D">
        <w:rPr>
          <w:b/>
        </w:rPr>
        <w:t>Stage One Gateway –</w:t>
      </w:r>
      <w:r w:rsidRPr="007C011E">
        <w:rPr>
          <w:b/>
        </w:rPr>
        <w:t xml:space="preserve"> Requirements</w:t>
      </w:r>
    </w:p>
    <w:p w14:paraId="4D0BAC07" w14:textId="77777777" w:rsidR="007C011E" w:rsidRDefault="007C011E" w:rsidP="005C0EDF">
      <w:pPr>
        <w:pStyle w:val="ListParagraph"/>
        <w:numPr>
          <w:ilvl w:val="0"/>
          <w:numId w:val="9"/>
        </w:numPr>
        <w:tabs>
          <w:tab w:val="clear" w:pos="426"/>
          <w:tab w:val="left" w:pos="567"/>
        </w:tabs>
        <w:ind w:left="567" w:right="367" w:hanging="425"/>
        <w:jc w:val="both"/>
      </w:pPr>
      <w:r>
        <w:t xml:space="preserve">The concept masterplan, has informed assumptions around mix and tenure and is the basis for estimates around construction costs and values, which in turn inform the Financial Model, which needs to be agreed by both parties. The financial considerations are set out in the Financial Implication section below. </w:t>
      </w:r>
    </w:p>
    <w:p w14:paraId="53D36CB9" w14:textId="77777777" w:rsidR="003B591B" w:rsidRDefault="007D370C" w:rsidP="003B591B">
      <w:pPr>
        <w:pStyle w:val="ListParagraph"/>
        <w:numPr>
          <w:ilvl w:val="0"/>
          <w:numId w:val="9"/>
        </w:numPr>
        <w:tabs>
          <w:tab w:val="clear" w:pos="426"/>
          <w:tab w:val="left" w:pos="567"/>
        </w:tabs>
        <w:ind w:left="567" w:right="367" w:hanging="425"/>
        <w:jc w:val="both"/>
      </w:pPr>
      <w:r>
        <w:t>Alongside the viability test, t</w:t>
      </w:r>
      <w:r w:rsidRPr="00C0667D">
        <w:t>he Stage One Gateway</w:t>
      </w:r>
      <w:r>
        <w:rPr>
          <w:b/>
        </w:rPr>
        <w:t xml:space="preserve"> </w:t>
      </w:r>
      <w:r w:rsidR="00460A15">
        <w:t xml:space="preserve">requires agreement to </w:t>
      </w:r>
      <w:r w:rsidR="007C5F9E">
        <w:t>strategies</w:t>
      </w:r>
      <w:r w:rsidR="00386ABF">
        <w:t xml:space="preserve"> </w:t>
      </w:r>
      <w:r w:rsidR="00C825DF">
        <w:t>for stakeholder engagement, design</w:t>
      </w:r>
      <w:r w:rsidR="00020BF1">
        <w:t xml:space="preserve"> quality</w:t>
      </w:r>
      <w:r w:rsidR="00C825DF">
        <w:t xml:space="preserve">, vacant possession and decant, development and phasing, the financial </w:t>
      </w:r>
      <w:r w:rsidR="007A7719">
        <w:t>model,</w:t>
      </w:r>
      <w:r w:rsidR="00C825DF">
        <w:t xml:space="preserve"> marketing and management.</w:t>
      </w:r>
    </w:p>
    <w:p w14:paraId="0F913139" w14:textId="001DE039" w:rsidR="0022019E" w:rsidRDefault="0022019E" w:rsidP="003B591B">
      <w:pPr>
        <w:pStyle w:val="ListParagraph"/>
        <w:numPr>
          <w:ilvl w:val="0"/>
          <w:numId w:val="9"/>
        </w:numPr>
        <w:tabs>
          <w:tab w:val="clear" w:pos="426"/>
          <w:tab w:val="left" w:pos="567"/>
        </w:tabs>
        <w:ind w:left="567" w:right="367" w:hanging="425"/>
        <w:jc w:val="both"/>
      </w:pPr>
      <w:r>
        <w:t>These strategies will be finalised before entering into Stage Two and are summarised below.</w:t>
      </w:r>
    </w:p>
    <w:p w14:paraId="33746E88" w14:textId="668E108B" w:rsidR="0022019E" w:rsidRPr="00DF780D" w:rsidRDefault="00452884" w:rsidP="00CB1F5C">
      <w:pPr>
        <w:tabs>
          <w:tab w:val="left" w:pos="567"/>
        </w:tabs>
        <w:ind w:left="142" w:right="367"/>
        <w:jc w:val="both"/>
        <w:rPr>
          <w:b/>
        </w:rPr>
      </w:pPr>
      <w:r>
        <w:tab/>
      </w:r>
      <w:r w:rsidR="0022019E" w:rsidRPr="00DF780D">
        <w:rPr>
          <w:b/>
        </w:rPr>
        <w:t>Stakeholder engagement</w:t>
      </w:r>
    </w:p>
    <w:p w14:paraId="70FEC96C" w14:textId="2792A6DC" w:rsidR="000B50BA" w:rsidRDefault="002B4B51" w:rsidP="00C0667D">
      <w:pPr>
        <w:pStyle w:val="ListParagraph"/>
        <w:numPr>
          <w:ilvl w:val="0"/>
          <w:numId w:val="9"/>
        </w:numPr>
        <w:tabs>
          <w:tab w:val="clear" w:pos="426"/>
          <w:tab w:val="left" w:pos="567"/>
        </w:tabs>
        <w:ind w:left="567" w:right="367" w:hanging="425"/>
        <w:jc w:val="both"/>
      </w:pPr>
      <w:r>
        <w:t>T</w:t>
      </w:r>
      <w:r w:rsidR="003B591B">
        <w:t xml:space="preserve">he concept masterplan has been developed with the involvement and feedback from the local community. There is a strategy </w:t>
      </w:r>
      <w:r>
        <w:t xml:space="preserve">led by CHL </w:t>
      </w:r>
      <w:r w:rsidR="003B591B">
        <w:t>to ensure that the detailed design will continue to provide a wide range of opportunities for residents and stakeholders to fully engage with the work</w:t>
      </w:r>
      <w:r>
        <w:t>,</w:t>
      </w:r>
      <w:r w:rsidR="003B591B">
        <w:t xml:space="preserve"> and a commitment to develop that strategy based on feedback from the community as the project develops. CHL and OCC </w:t>
      </w:r>
      <w:r w:rsidR="00F32AD1">
        <w:t>are</w:t>
      </w:r>
      <w:r w:rsidR="000B50BA">
        <w:t xml:space="preserve"> working with existing and emerging forums and are providing additional opportunities for hard to reach groups to engage in the regeneration proposals. </w:t>
      </w:r>
    </w:p>
    <w:p w14:paraId="79823ABA" w14:textId="62AD38A1" w:rsidR="008F6643" w:rsidRDefault="0022019E" w:rsidP="00C0667D">
      <w:pPr>
        <w:pStyle w:val="ListParagraph"/>
        <w:numPr>
          <w:ilvl w:val="0"/>
          <w:numId w:val="9"/>
        </w:numPr>
        <w:tabs>
          <w:tab w:val="clear" w:pos="426"/>
          <w:tab w:val="left" w:pos="567"/>
        </w:tabs>
        <w:ind w:left="567" w:right="367" w:hanging="425"/>
        <w:jc w:val="both"/>
      </w:pPr>
      <w:r>
        <w:t>T</w:t>
      </w:r>
      <w:r w:rsidR="00DB28E4">
        <w:t xml:space="preserve">he re-provision of the community centre </w:t>
      </w:r>
      <w:r>
        <w:t xml:space="preserve">is a key element of the masterplan </w:t>
      </w:r>
      <w:r w:rsidR="00DB28E4">
        <w:t xml:space="preserve">and </w:t>
      </w:r>
      <w:r>
        <w:t xml:space="preserve">future </w:t>
      </w:r>
      <w:r w:rsidR="00DB28E4">
        <w:t>engagement proposals include bespoke meetings to develop the detailed design of the centre. The strategy recognises the importance of ensuring that existing user groups are provided with temporary facilities during construction of the new centre.</w:t>
      </w:r>
      <w:r w:rsidR="008F6643">
        <w:t xml:space="preserve"> </w:t>
      </w:r>
    </w:p>
    <w:p w14:paraId="1413F393" w14:textId="77777777" w:rsidR="008F6643" w:rsidRDefault="005372E4" w:rsidP="00C0667D">
      <w:pPr>
        <w:pStyle w:val="ListParagraph"/>
        <w:numPr>
          <w:ilvl w:val="0"/>
          <w:numId w:val="9"/>
        </w:numPr>
        <w:tabs>
          <w:tab w:val="clear" w:pos="426"/>
          <w:tab w:val="left" w:pos="567"/>
        </w:tabs>
        <w:ind w:left="567" w:right="367" w:hanging="425"/>
        <w:jc w:val="both"/>
      </w:pPr>
      <w:r>
        <w:lastRenderedPageBreak/>
        <w:t xml:space="preserve">There will be additional engagement with the existing retail occupiers about their intentions and preferences for the new retail offer and further consultation with the community about the uses they would like to see. </w:t>
      </w:r>
    </w:p>
    <w:p w14:paraId="4E6EB4A0" w14:textId="5A9BCF7E" w:rsidR="0022019E" w:rsidRPr="00DF780D" w:rsidRDefault="0022019E" w:rsidP="00834EB5">
      <w:pPr>
        <w:pStyle w:val="ListParagraph"/>
        <w:numPr>
          <w:ilvl w:val="0"/>
          <w:numId w:val="0"/>
        </w:numPr>
        <w:tabs>
          <w:tab w:val="clear" w:pos="426"/>
          <w:tab w:val="left" w:pos="567"/>
        </w:tabs>
        <w:ind w:left="567" w:right="367"/>
        <w:jc w:val="both"/>
        <w:rPr>
          <w:b/>
        </w:rPr>
      </w:pPr>
      <w:r w:rsidRPr="00DF780D">
        <w:rPr>
          <w:b/>
        </w:rPr>
        <w:t>Design quality</w:t>
      </w:r>
    </w:p>
    <w:p w14:paraId="5C740792" w14:textId="67598AAD" w:rsidR="00020BF1" w:rsidRDefault="00020BF1" w:rsidP="00C0667D">
      <w:pPr>
        <w:pStyle w:val="ListParagraph"/>
        <w:numPr>
          <w:ilvl w:val="0"/>
          <w:numId w:val="9"/>
        </w:numPr>
        <w:tabs>
          <w:tab w:val="clear" w:pos="426"/>
          <w:tab w:val="left" w:pos="567"/>
        </w:tabs>
        <w:ind w:left="567" w:right="367" w:hanging="425"/>
        <w:jc w:val="both"/>
      </w:pPr>
      <w:r>
        <w:t>Design quality is def</w:t>
      </w:r>
      <w:r w:rsidR="00FD3091">
        <w:t xml:space="preserve">ined by the Design Code. </w:t>
      </w:r>
      <w:r w:rsidR="0026451F">
        <w:t>The Stage One Gateway proposals commit CHL to meeting OCC’s emerging 2036 Oxford Local Plan standards</w:t>
      </w:r>
      <w:r w:rsidR="003A36B0">
        <w:t xml:space="preserve">. This requires </w:t>
      </w:r>
      <w:r w:rsidR="002B0208">
        <w:t xml:space="preserve">improved </w:t>
      </w:r>
      <w:r w:rsidR="003A36B0">
        <w:t xml:space="preserve">sustainability </w:t>
      </w:r>
      <w:r w:rsidR="002B0208">
        <w:t xml:space="preserve">standards </w:t>
      </w:r>
      <w:r w:rsidR="003A36B0">
        <w:t xml:space="preserve">to achieve </w:t>
      </w:r>
      <w:r w:rsidR="0026451F">
        <w:t>an increase of a 40% improvement on Building Regulations</w:t>
      </w:r>
      <w:r w:rsidR="00635085">
        <w:t xml:space="preserve"> energy use</w:t>
      </w:r>
      <w:r w:rsidR="002B0208">
        <w:t xml:space="preserve"> for Housing and BREEAM </w:t>
      </w:r>
      <w:r w:rsidR="00465096">
        <w:t>Excellent</w:t>
      </w:r>
      <w:r w:rsidR="002B0208">
        <w:t xml:space="preserve"> for the Community building</w:t>
      </w:r>
      <w:r w:rsidR="0026451F">
        <w:t xml:space="preserve">. The detailed design will explore strategies to further improve sustainability for the new buildings. </w:t>
      </w:r>
      <w:r w:rsidR="002B0208">
        <w:t>Detailed design and engagement on t</w:t>
      </w:r>
      <w:r w:rsidR="003A36B0">
        <w:t xml:space="preserve">he design </w:t>
      </w:r>
      <w:r w:rsidR="00635085">
        <w:t xml:space="preserve">and use </w:t>
      </w:r>
      <w:r w:rsidR="003A36B0">
        <w:t xml:space="preserve">of the landscape and </w:t>
      </w:r>
      <w:r w:rsidR="00635085">
        <w:t xml:space="preserve">new </w:t>
      </w:r>
      <w:r w:rsidR="003A36B0">
        <w:t xml:space="preserve">public square will ensure these spaces will be a positive contribution in the area with specific funding </w:t>
      </w:r>
      <w:r w:rsidR="00135DA5">
        <w:t>included in the cost plan</w:t>
      </w:r>
      <w:r w:rsidR="003A36B0">
        <w:t xml:space="preserve"> to ensuring their success. </w:t>
      </w:r>
      <w:r w:rsidR="001D74A0">
        <w:t>The strategy also commits to meeting the emerging fire safety standards</w:t>
      </w:r>
      <w:r w:rsidR="00635085">
        <w:t xml:space="preserve"> with all new flats designed to the same improved standards and not just the taller buildings</w:t>
      </w:r>
      <w:r w:rsidR="001D74A0">
        <w:t>.</w:t>
      </w:r>
    </w:p>
    <w:p w14:paraId="296AA081" w14:textId="6CCAA9A8" w:rsidR="00D3404E" w:rsidRPr="00DF780D" w:rsidRDefault="00D3404E" w:rsidP="00834EB5">
      <w:pPr>
        <w:pStyle w:val="ListParagraph"/>
        <w:numPr>
          <w:ilvl w:val="0"/>
          <w:numId w:val="0"/>
        </w:numPr>
        <w:tabs>
          <w:tab w:val="clear" w:pos="426"/>
          <w:tab w:val="left" w:pos="567"/>
        </w:tabs>
        <w:ind w:left="567" w:right="367"/>
        <w:jc w:val="both"/>
        <w:rPr>
          <w:b/>
        </w:rPr>
      </w:pPr>
      <w:r w:rsidRPr="00DF780D">
        <w:rPr>
          <w:b/>
        </w:rPr>
        <w:t>Vacant possession and decant</w:t>
      </w:r>
    </w:p>
    <w:p w14:paraId="6A535C94" w14:textId="68D1740B" w:rsidR="005372E4" w:rsidRDefault="00033AAA" w:rsidP="00C0667D">
      <w:pPr>
        <w:pStyle w:val="ListParagraph"/>
        <w:numPr>
          <w:ilvl w:val="0"/>
          <w:numId w:val="9"/>
        </w:numPr>
        <w:tabs>
          <w:tab w:val="clear" w:pos="426"/>
          <w:tab w:val="left" w:pos="567"/>
        </w:tabs>
        <w:ind w:left="567" w:right="367" w:hanging="425"/>
        <w:jc w:val="both"/>
      </w:pPr>
      <w:r>
        <w:t>The</w:t>
      </w:r>
      <w:r w:rsidR="002B4B51">
        <w:t xml:space="preserve"> vacant possession and decant strateg</w:t>
      </w:r>
      <w:r>
        <w:t xml:space="preserve">y includes </w:t>
      </w:r>
      <w:r w:rsidR="00386ABF">
        <w:t>tenants and leaseholders</w:t>
      </w:r>
      <w:r w:rsidR="002B4B51">
        <w:t>, the community centre and retail</w:t>
      </w:r>
      <w:r w:rsidR="009D27A5">
        <w:t xml:space="preserve"> </w:t>
      </w:r>
      <w:r w:rsidR="00DF780D">
        <w:t>occupiers and users</w:t>
      </w:r>
      <w:r w:rsidR="002B4B51">
        <w:t xml:space="preserve">. </w:t>
      </w:r>
    </w:p>
    <w:p w14:paraId="1B13933A" w14:textId="6017781E" w:rsidR="002B4B51" w:rsidRDefault="00DD62AB" w:rsidP="00C0667D">
      <w:pPr>
        <w:pStyle w:val="ListParagraph"/>
        <w:numPr>
          <w:ilvl w:val="0"/>
          <w:numId w:val="9"/>
        </w:numPr>
        <w:tabs>
          <w:tab w:val="clear" w:pos="426"/>
          <w:tab w:val="left" w:pos="567"/>
        </w:tabs>
        <w:ind w:left="567" w:right="367" w:hanging="425"/>
        <w:jc w:val="both"/>
      </w:pPr>
      <w:r w:rsidRPr="00DD62AB">
        <w:t>The concept masterplan has been revi</w:t>
      </w:r>
      <w:r>
        <w:t xml:space="preserve">sed </w:t>
      </w:r>
      <w:r w:rsidR="00BA4AA8">
        <w:t>reducing</w:t>
      </w:r>
      <w:r>
        <w:t xml:space="preserve"> the rehousing need</w:t>
      </w:r>
      <w:r w:rsidR="00347CC2">
        <w:t xml:space="preserve"> for both leaseholders and tenants. There are </w:t>
      </w:r>
      <w:r>
        <w:t>8</w:t>
      </w:r>
      <w:r w:rsidR="00033AAA">
        <w:t xml:space="preserve"> tenants living above the existing shops</w:t>
      </w:r>
      <w:r>
        <w:t xml:space="preserve">. They </w:t>
      </w:r>
      <w:r w:rsidR="00033AAA">
        <w:t>will be given priority for re-housing through the council’s</w:t>
      </w:r>
      <w:r>
        <w:t xml:space="preserve"> allocation scheme and will have the option of returning to a council property or moving in to one of the new CHL properties. </w:t>
      </w:r>
    </w:p>
    <w:p w14:paraId="5903DC67" w14:textId="4878CDE6" w:rsidR="00DD62AB" w:rsidRDefault="00DD62AB" w:rsidP="00C0667D">
      <w:pPr>
        <w:pStyle w:val="ListParagraph"/>
        <w:numPr>
          <w:ilvl w:val="0"/>
          <w:numId w:val="9"/>
        </w:numPr>
        <w:tabs>
          <w:tab w:val="clear" w:pos="426"/>
          <w:tab w:val="left" w:pos="567"/>
        </w:tabs>
        <w:ind w:left="567" w:right="367" w:hanging="425"/>
        <w:jc w:val="both"/>
      </w:pPr>
      <w:r>
        <w:t>Th</w:t>
      </w:r>
      <w:r w:rsidR="00347CC2">
        <w:t xml:space="preserve">ere are 4 private leaseholders above the existing shops. </w:t>
      </w:r>
      <w:r w:rsidR="00FC54DA">
        <w:t>There has been initial consultation with them as part of the concept masterplan work</w:t>
      </w:r>
      <w:r w:rsidR="002A131B">
        <w:t>. T</w:t>
      </w:r>
      <w:r w:rsidR="00FC54DA">
        <w:t xml:space="preserve">he detailed design stage includes for further </w:t>
      </w:r>
      <w:r w:rsidR="00691CF2">
        <w:t>negotiation</w:t>
      </w:r>
      <w:r w:rsidR="00FC54DA">
        <w:t xml:space="preserve"> to </w:t>
      </w:r>
      <w:r w:rsidR="00691CF2">
        <w:t>acquire</w:t>
      </w:r>
      <w:r w:rsidR="00FC54DA">
        <w:t xml:space="preserve"> their interests by agreement. </w:t>
      </w:r>
      <w:r w:rsidR="00347CC2">
        <w:t xml:space="preserve"> </w:t>
      </w:r>
      <w:r w:rsidR="002A131B">
        <w:t xml:space="preserve">Should negotiations </w:t>
      </w:r>
      <w:r w:rsidR="00D3404E">
        <w:t>not prove successful,</w:t>
      </w:r>
      <w:r w:rsidR="002A131B">
        <w:t xml:space="preserve"> the vacant possession strategy recognises there may be a need to acquire their interests through the CPO process</w:t>
      </w:r>
      <w:r w:rsidR="00834EB5">
        <w:t>.</w:t>
      </w:r>
      <w:r w:rsidR="002A131B">
        <w:t xml:space="preserve"> Should this be </w:t>
      </w:r>
      <w:r w:rsidR="00D3404E">
        <w:t xml:space="preserve">deemed </w:t>
      </w:r>
      <w:r w:rsidR="002A131B">
        <w:t xml:space="preserve">necessary a further </w:t>
      </w:r>
      <w:r w:rsidR="009D27A5">
        <w:t xml:space="preserve">report and </w:t>
      </w:r>
      <w:r w:rsidR="002A131B">
        <w:t>submission will be made to Cabinet</w:t>
      </w:r>
      <w:r w:rsidR="00D3404E">
        <w:t xml:space="preserve"> for consideration</w:t>
      </w:r>
      <w:r w:rsidR="00C0667D">
        <w:t>.</w:t>
      </w:r>
      <w:r w:rsidR="00BA4AA8">
        <w:t xml:space="preserve"> </w:t>
      </w:r>
    </w:p>
    <w:p w14:paraId="042B4E70" w14:textId="1A9AD899" w:rsidR="00632097" w:rsidRDefault="00BA4AA8" w:rsidP="00CB1F5C">
      <w:pPr>
        <w:pStyle w:val="ListParagraph"/>
        <w:numPr>
          <w:ilvl w:val="0"/>
          <w:numId w:val="9"/>
        </w:numPr>
        <w:tabs>
          <w:tab w:val="clear" w:pos="426"/>
          <w:tab w:val="left" w:pos="567"/>
        </w:tabs>
        <w:ind w:left="567" w:right="367" w:hanging="425"/>
        <w:jc w:val="both"/>
      </w:pPr>
      <w:r>
        <w:t xml:space="preserve">The </w:t>
      </w:r>
      <w:r w:rsidR="00DF780D">
        <w:t>concept masterplan</w:t>
      </w:r>
      <w:r w:rsidR="003C7430">
        <w:t xml:space="preserve"> strategy allows for </w:t>
      </w:r>
      <w:r w:rsidR="003C7430" w:rsidRPr="003C7430">
        <w:t xml:space="preserve">existing tenants to be retained in </w:t>
      </w:r>
      <w:r w:rsidR="003C7430">
        <w:t xml:space="preserve">the </w:t>
      </w:r>
      <w:r w:rsidR="003C7430" w:rsidRPr="003C7430">
        <w:t>new retail units</w:t>
      </w:r>
      <w:r w:rsidR="00BA69B2">
        <w:t xml:space="preserve"> within the new district centre. </w:t>
      </w:r>
      <w:r w:rsidR="00020BF1">
        <w:t xml:space="preserve">The existing shops will remain in use until the new centre is constructed. </w:t>
      </w:r>
      <w:r w:rsidR="00BA69B2">
        <w:t xml:space="preserve">There has been early engagement with tenants and this will continue through the detailed design stage. </w:t>
      </w:r>
      <w:r w:rsidR="00632097">
        <w:t xml:space="preserve">The strategy includes details of leases protected under the 1954 Landlord &amp; Tenant Act. As with residential leaseholds should </w:t>
      </w:r>
      <w:r w:rsidR="00691CF2">
        <w:t>negotia</w:t>
      </w:r>
      <w:r w:rsidR="00632097">
        <w:t xml:space="preserve">tions fail there may be a need to seek </w:t>
      </w:r>
      <w:r w:rsidR="00691CF2" w:rsidRPr="00691CF2">
        <w:t xml:space="preserve">Cabinet approval </w:t>
      </w:r>
      <w:r w:rsidR="00691CF2">
        <w:t xml:space="preserve">for </w:t>
      </w:r>
      <w:r w:rsidR="00632097">
        <w:t>compulsory purchase</w:t>
      </w:r>
      <w:r w:rsidR="00DF780D">
        <w:t>, which will form part of a separate report.</w:t>
      </w:r>
      <w:r w:rsidR="00691CF2">
        <w:t xml:space="preserve"> </w:t>
      </w:r>
    </w:p>
    <w:p w14:paraId="73F7FEAB" w14:textId="77777777" w:rsidR="00E67569" w:rsidRDefault="00267885" w:rsidP="00E67569">
      <w:pPr>
        <w:pStyle w:val="ListParagraph"/>
        <w:numPr>
          <w:ilvl w:val="0"/>
          <w:numId w:val="9"/>
        </w:numPr>
        <w:tabs>
          <w:tab w:val="clear" w:pos="426"/>
          <w:tab w:val="left" w:pos="567"/>
        </w:tabs>
        <w:ind w:left="567" w:right="367" w:hanging="425"/>
        <w:jc w:val="both"/>
      </w:pPr>
      <w:r w:rsidRPr="00E67569">
        <w:t>The existing community centre</w:t>
      </w:r>
      <w:r w:rsidR="00020BF1" w:rsidRPr="00E67569">
        <w:t xml:space="preserve"> will need to be demolished in order to make way for the new centre. </w:t>
      </w:r>
      <w:r w:rsidR="00691CF2" w:rsidRPr="00E67569">
        <w:t xml:space="preserve">The decant strategy for the Community Centre </w:t>
      </w:r>
      <w:r w:rsidR="00020BF1" w:rsidRPr="00E67569">
        <w:t xml:space="preserve">therefore </w:t>
      </w:r>
      <w:r w:rsidR="00691CF2" w:rsidRPr="00E67569">
        <w:t xml:space="preserve">provides support for existing users to be accommodated elsewhere on the </w:t>
      </w:r>
      <w:r w:rsidR="00020BF1" w:rsidRPr="00E67569">
        <w:t>estate and to ensure that current visitors can continue to engage with their services until the new centre is available.</w:t>
      </w:r>
    </w:p>
    <w:p w14:paraId="2DBE5DF7" w14:textId="77777777" w:rsidR="00D44EFC" w:rsidRDefault="00D44EFC" w:rsidP="00D44EFC">
      <w:pPr>
        <w:tabs>
          <w:tab w:val="left" w:pos="567"/>
        </w:tabs>
        <w:ind w:right="367"/>
        <w:jc w:val="both"/>
      </w:pPr>
    </w:p>
    <w:p w14:paraId="53F0FA01" w14:textId="77777777" w:rsidR="00D44EFC" w:rsidRDefault="00D44EFC" w:rsidP="00D44EFC">
      <w:pPr>
        <w:tabs>
          <w:tab w:val="left" w:pos="567"/>
        </w:tabs>
        <w:ind w:right="367"/>
        <w:jc w:val="both"/>
      </w:pPr>
    </w:p>
    <w:p w14:paraId="4883FAC6" w14:textId="712A0FDF" w:rsidR="00D3404E" w:rsidRPr="00DF780D" w:rsidRDefault="00D3404E" w:rsidP="00834EB5">
      <w:pPr>
        <w:pStyle w:val="ListParagraph"/>
        <w:numPr>
          <w:ilvl w:val="0"/>
          <w:numId w:val="0"/>
        </w:numPr>
        <w:tabs>
          <w:tab w:val="clear" w:pos="426"/>
          <w:tab w:val="left" w:pos="567"/>
        </w:tabs>
        <w:ind w:left="567" w:right="367"/>
        <w:jc w:val="both"/>
        <w:rPr>
          <w:b/>
        </w:rPr>
      </w:pPr>
      <w:r w:rsidRPr="00DF780D">
        <w:rPr>
          <w:b/>
        </w:rPr>
        <w:lastRenderedPageBreak/>
        <w:t xml:space="preserve">Development and </w:t>
      </w:r>
      <w:r w:rsidR="00465096">
        <w:rPr>
          <w:b/>
        </w:rPr>
        <w:t>P</w:t>
      </w:r>
      <w:r w:rsidRPr="00DF780D">
        <w:rPr>
          <w:b/>
        </w:rPr>
        <w:t>hasing</w:t>
      </w:r>
    </w:p>
    <w:p w14:paraId="0090B958" w14:textId="1F40F667" w:rsidR="00627985" w:rsidRDefault="009D27A5" w:rsidP="00E67569">
      <w:pPr>
        <w:pStyle w:val="ListParagraph"/>
        <w:numPr>
          <w:ilvl w:val="0"/>
          <w:numId w:val="9"/>
        </w:numPr>
        <w:tabs>
          <w:tab w:val="clear" w:pos="426"/>
          <w:tab w:val="left" w:pos="567"/>
        </w:tabs>
        <w:ind w:left="567" w:right="367" w:hanging="425"/>
        <w:jc w:val="both"/>
      </w:pPr>
      <w:r w:rsidRPr="00E67569">
        <w:t xml:space="preserve">The development and phasing strategy </w:t>
      </w:r>
      <w:r w:rsidR="00D757CF" w:rsidRPr="00E67569">
        <w:t xml:space="preserve">minimises disruption to the community and </w:t>
      </w:r>
      <w:r w:rsidR="007E0165" w:rsidRPr="00E67569">
        <w:t>supports</w:t>
      </w:r>
      <w:r w:rsidR="00D757CF" w:rsidRPr="00E67569">
        <w:t xml:space="preserve"> th</w:t>
      </w:r>
      <w:r w:rsidR="007E0165" w:rsidRPr="00E67569">
        <w:t>e</w:t>
      </w:r>
      <w:r w:rsidR="00D757CF" w:rsidRPr="00E67569">
        <w:t xml:space="preserve"> financial </w:t>
      </w:r>
      <w:r w:rsidR="007E0165" w:rsidRPr="00E67569">
        <w:t>viability</w:t>
      </w:r>
      <w:r w:rsidR="00D757CF" w:rsidRPr="00E67569">
        <w:t xml:space="preserve">. </w:t>
      </w:r>
      <w:r w:rsidR="007E0165" w:rsidRPr="00E67569">
        <w:t xml:space="preserve">Phase </w:t>
      </w:r>
      <w:r w:rsidR="00627985">
        <w:t>O</w:t>
      </w:r>
      <w:r w:rsidR="00D757CF" w:rsidRPr="00E67569">
        <w:t xml:space="preserve">ne includes the construction of the </w:t>
      </w:r>
      <w:r w:rsidR="007E0165" w:rsidRPr="00E67569">
        <w:t>market sale homes at Knights Road and the</w:t>
      </w:r>
      <w:r w:rsidR="00F05965" w:rsidRPr="00E67569">
        <w:t xml:space="preserve"> new community c</w:t>
      </w:r>
      <w:r w:rsidR="007E0165" w:rsidRPr="00E67569">
        <w:t xml:space="preserve">entre, shops and flats on the existing community centre site. The sale of the new houses will provide cash flow to support the new district centre. </w:t>
      </w:r>
      <w:r w:rsidR="00F05965" w:rsidRPr="00E67569">
        <w:t>The existing ‘top</w:t>
      </w:r>
      <w:r w:rsidR="00386ABF" w:rsidRPr="00E67569">
        <w:t xml:space="preserve"> </w:t>
      </w:r>
      <w:r w:rsidR="00F05965" w:rsidRPr="00E67569">
        <w:t xml:space="preserve">shops’ and flats will only be demolished after the new facilities are built. The strategy accommodates the timetable for the </w:t>
      </w:r>
      <w:r w:rsidR="00627985">
        <w:t>external Housing and Infrastructure Fund (</w:t>
      </w:r>
      <w:r w:rsidR="00F05965" w:rsidRPr="00E67569">
        <w:t>HIF</w:t>
      </w:r>
      <w:r w:rsidR="00627985">
        <w:t>)</w:t>
      </w:r>
      <w:r w:rsidR="00F05965" w:rsidRPr="00E67569">
        <w:t xml:space="preserve"> </w:t>
      </w:r>
      <w:r w:rsidR="00627985">
        <w:t xml:space="preserve">grant </w:t>
      </w:r>
      <w:r w:rsidR="00F05965" w:rsidRPr="00E67569">
        <w:t>and</w:t>
      </w:r>
      <w:r w:rsidR="007E0165" w:rsidRPr="00E67569">
        <w:t xml:space="preserve"> details the gateways required by the </w:t>
      </w:r>
      <w:r w:rsidR="00D3404E">
        <w:t>D</w:t>
      </w:r>
      <w:r w:rsidR="007E0165" w:rsidRPr="00E67569">
        <w:t xml:space="preserve">evelopment </w:t>
      </w:r>
      <w:r w:rsidR="00D3404E">
        <w:t>A</w:t>
      </w:r>
      <w:r w:rsidR="007E0165" w:rsidRPr="00E67569">
        <w:t>greement</w:t>
      </w:r>
      <w:r w:rsidR="00F05965" w:rsidRPr="00E67569">
        <w:t xml:space="preserve">. </w:t>
      </w:r>
      <w:r w:rsidR="007E0165" w:rsidRPr="00E67569">
        <w:t xml:space="preserve"> </w:t>
      </w:r>
    </w:p>
    <w:p w14:paraId="3B09BAA1" w14:textId="7F4974B9" w:rsidR="00627985" w:rsidRPr="002650A4" w:rsidRDefault="00627985" w:rsidP="00CB1F5C">
      <w:pPr>
        <w:pStyle w:val="ListParagraph"/>
        <w:numPr>
          <w:ilvl w:val="0"/>
          <w:numId w:val="0"/>
        </w:numPr>
        <w:tabs>
          <w:tab w:val="clear" w:pos="426"/>
          <w:tab w:val="left" w:pos="567"/>
        </w:tabs>
        <w:ind w:left="567" w:right="367"/>
        <w:jc w:val="both"/>
        <w:rPr>
          <w:b/>
        </w:rPr>
      </w:pPr>
      <w:r w:rsidRPr="002650A4">
        <w:rPr>
          <w:b/>
        </w:rPr>
        <w:t>Financial Model</w:t>
      </w:r>
    </w:p>
    <w:p w14:paraId="1DE49743" w14:textId="1A39931B" w:rsidR="00E67569" w:rsidRPr="00E67569" w:rsidRDefault="00F05965" w:rsidP="00E67569">
      <w:pPr>
        <w:pStyle w:val="ListParagraph"/>
        <w:numPr>
          <w:ilvl w:val="0"/>
          <w:numId w:val="9"/>
        </w:numPr>
        <w:tabs>
          <w:tab w:val="clear" w:pos="426"/>
          <w:tab w:val="left" w:pos="567"/>
        </w:tabs>
        <w:ind w:left="567" w:right="367" w:hanging="425"/>
        <w:jc w:val="both"/>
      </w:pPr>
      <w:r w:rsidRPr="00E67569">
        <w:t xml:space="preserve">The financial </w:t>
      </w:r>
      <w:r w:rsidR="006C3AC7" w:rsidRPr="00E67569">
        <w:t>strategy at Stage One establish</w:t>
      </w:r>
      <w:r w:rsidR="000C046C" w:rsidRPr="00E67569">
        <w:t>es</w:t>
      </w:r>
      <w:r w:rsidR="006C3AC7" w:rsidRPr="00E67569">
        <w:t xml:space="preserve"> a viable model that </w:t>
      </w:r>
      <w:r w:rsidR="00627985">
        <w:t>will</w:t>
      </w:r>
      <w:r w:rsidR="006C3AC7" w:rsidRPr="00E67569">
        <w:t xml:space="preserve"> be agreed by </w:t>
      </w:r>
      <w:r w:rsidR="00BA562B" w:rsidRPr="00E67569">
        <w:t xml:space="preserve">both </w:t>
      </w:r>
      <w:r w:rsidR="006C3AC7" w:rsidRPr="00E67569">
        <w:t>CHL and OCC to enable the project to move forward to the next stage. The</w:t>
      </w:r>
      <w:r w:rsidR="006C3AC7">
        <w:t xml:space="preserve"> model has </w:t>
      </w:r>
      <w:r>
        <w:t xml:space="preserve">evolved </w:t>
      </w:r>
      <w:r w:rsidR="0000117A">
        <w:t xml:space="preserve">with the concept masterplan. </w:t>
      </w:r>
      <w:r w:rsidR="00627985">
        <w:t xml:space="preserve">This is detailed in the Financial Implications section below. </w:t>
      </w:r>
    </w:p>
    <w:p w14:paraId="08BCB528" w14:textId="2DCD2370" w:rsidR="00627985" w:rsidRPr="00DF780D" w:rsidRDefault="00627985" w:rsidP="00CB1F5C">
      <w:pPr>
        <w:pStyle w:val="ListParagraph"/>
        <w:numPr>
          <w:ilvl w:val="0"/>
          <w:numId w:val="0"/>
        </w:numPr>
        <w:tabs>
          <w:tab w:val="clear" w:pos="426"/>
          <w:tab w:val="left" w:pos="567"/>
        </w:tabs>
        <w:ind w:left="567" w:right="367"/>
        <w:jc w:val="both"/>
        <w:rPr>
          <w:b/>
        </w:rPr>
      </w:pPr>
      <w:r w:rsidRPr="00DF780D">
        <w:rPr>
          <w:b/>
        </w:rPr>
        <w:t xml:space="preserve">Marketing and </w:t>
      </w:r>
      <w:r w:rsidR="003D0F25" w:rsidRPr="00DF780D">
        <w:rPr>
          <w:b/>
        </w:rPr>
        <w:t>M</w:t>
      </w:r>
      <w:r w:rsidRPr="00DF780D">
        <w:rPr>
          <w:b/>
        </w:rPr>
        <w:t>anagement</w:t>
      </w:r>
    </w:p>
    <w:p w14:paraId="7E301A04" w14:textId="41742C51" w:rsidR="00C0667D" w:rsidRDefault="00E67569" w:rsidP="00FC4751">
      <w:pPr>
        <w:pStyle w:val="ListParagraph"/>
        <w:numPr>
          <w:ilvl w:val="0"/>
          <w:numId w:val="9"/>
        </w:numPr>
        <w:tabs>
          <w:tab w:val="clear" w:pos="426"/>
          <w:tab w:val="left" w:pos="567"/>
        </w:tabs>
        <w:ind w:left="567" w:right="367" w:hanging="425"/>
        <w:jc w:val="both"/>
      </w:pPr>
      <w:r w:rsidRPr="00E67569">
        <w:t xml:space="preserve">The marketing strategy </w:t>
      </w:r>
      <w:r w:rsidR="008320FD">
        <w:t xml:space="preserve">for the market sale and shared ownership housing </w:t>
      </w:r>
      <w:r w:rsidRPr="00E67569">
        <w:t xml:space="preserve">addresses the need to encourage buyers to consider new homes in Blackbird Leys. It will also consider how local buyers who currently live and work in the Blackbird Leys/Greater Leys area and </w:t>
      </w:r>
      <w:r w:rsidR="0034685C">
        <w:t xml:space="preserve">how </w:t>
      </w:r>
      <w:r w:rsidRPr="00E67569">
        <w:t>keyworkers e.g. local teachers from the neighbourhood college/schools can be prioritised.</w:t>
      </w:r>
    </w:p>
    <w:p w14:paraId="65FB9AD7" w14:textId="20D4E4E3" w:rsidR="008320FD" w:rsidRDefault="008320FD" w:rsidP="00FC4751">
      <w:pPr>
        <w:pStyle w:val="ListParagraph"/>
        <w:numPr>
          <w:ilvl w:val="0"/>
          <w:numId w:val="9"/>
        </w:numPr>
        <w:tabs>
          <w:tab w:val="clear" w:pos="426"/>
          <w:tab w:val="left" w:pos="567"/>
        </w:tabs>
        <w:ind w:left="567" w:right="367" w:hanging="425"/>
        <w:jc w:val="both"/>
      </w:pPr>
      <w:r>
        <w:t>CHL is committed to work with the City’s Housing Team to agree the allocation of new homes using their choice based lettings scheme and/or Council’s waiting list and to reviewing the demand for homes including unit size, demographics and priority need</w:t>
      </w:r>
      <w:r w:rsidR="00DF780D">
        <w:t>s</w:t>
      </w:r>
      <w:r>
        <w:t xml:space="preserve">. This will include targeting keyworkers, under occupiers affected by the bedroom tax, elderly </w:t>
      </w:r>
      <w:r w:rsidR="00FC4751">
        <w:t>residents</w:t>
      </w:r>
      <w:r>
        <w:t xml:space="preserve"> and those considering downsizing and applicants who work in or around the Blackbird Leys area but may have a low priority need on the waiting list.</w:t>
      </w:r>
    </w:p>
    <w:p w14:paraId="2D0E6EB4" w14:textId="1F6D51F3" w:rsidR="00FC4751" w:rsidRDefault="00B9768E" w:rsidP="00B9768E">
      <w:pPr>
        <w:pStyle w:val="ListParagraph"/>
        <w:numPr>
          <w:ilvl w:val="0"/>
          <w:numId w:val="9"/>
        </w:numPr>
        <w:tabs>
          <w:tab w:val="clear" w:pos="426"/>
          <w:tab w:val="left" w:pos="567"/>
        </w:tabs>
        <w:ind w:left="567" w:right="367" w:hanging="425"/>
        <w:jc w:val="both"/>
      </w:pPr>
      <w:r>
        <w:t xml:space="preserve">The management strategy is a comprehensive proposal that addresses the day to day estate management and environmental issues to maintain and improve neighbourhood standards and including the strategy for maintenance of the new public realm.  </w:t>
      </w:r>
      <w:r w:rsidR="0034685C">
        <w:t>T</w:t>
      </w:r>
      <w:r>
        <w:t xml:space="preserve">he strategy includes the CHL social investment arm to support residents </w:t>
      </w:r>
      <w:r w:rsidR="00DD7125">
        <w:t>with</w:t>
      </w:r>
      <w:r>
        <w:t xml:space="preserve"> a bespoke referral and case management system to identify and appropriately respond to </w:t>
      </w:r>
      <w:r w:rsidR="00DD7125">
        <w:t xml:space="preserve">resident </w:t>
      </w:r>
      <w:r>
        <w:t>needs.</w:t>
      </w:r>
    </w:p>
    <w:p w14:paraId="6F8C8BBE" w14:textId="77777777" w:rsidR="00D42B5D" w:rsidRPr="00DD7125" w:rsidRDefault="00D42B5D" w:rsidP="00DD7125">
      <w:pPr>
        <w:tabs>
          <w:tab w:val="left" w:pos="567"/>
        </w:tabs>
        <w:ind w:left="142" w:right="367"/>
        <w:jc w:val="both"/>
        <w:rPr>
          <w:i/>
        </w:rPr>
      </w:pPr>
      <w:r w:rsidRPr="00DD7125">
        <w:rPr>
          <w:b/>
        </w:rPr>
        <w:t>Community and Stakeholder Involvement</w:t>
      </w:r>
    </w:p>
    <w:p w14:paraId="7DD9EF75" w14:textId="77777777" w:rsidR="00D42B5D" w:rsidRDefault="00391AD2" w:rsidP="005C0EDF">
      <w:pPr>
        <w:pStyle w:val="ListParagraph"/>
        <w:numPr>
          <w:ilvl w:val="0"/>
          <w:numId w:val="9"/>
        </w:numPr>
        <w:tabs>
          <w:tab w:val="clear" w:pos="426"/>
          <w:tab w:val="left" w:pos="567"/>
        </w:tabs>
        <w:ind w:left="567" w:right="367" w:hanging="425"/>
        <w:jc w:val="both"/>
      </w:pPr>
      <w:r w:rsidRPr="00E67569">
        <w:t>The Community has be</w:t>
      </w:r>
      <w:r w:rsidR="00EB6A12" w:rsidRPr="00E67569">
        <w:t>en</w:t>
      </w:r>
      <w:r>
        <w:t xml:space="preserve"> engaged throughout the development of </w:t>
      </w:r>
      <w:r w:rsidR="00EB6A12">
        <w:t>the</w:t>
      </w:r>
      <w:r>
        <w:t xml:space="preserve"> </w:t>
      </w:r>
      <w:r w:rsidR="007C011E">
        <w:t xml:space="preserve">concept </w:t>
      </w:r>
      <w:r>
        <w:t>m</w:t>
      </w:r>
      <w:r w:rsidR="00EB6A12">
        <w:t xml:space="preserve">asterplan through events led by </w:t>
      </w:r>
      <w:r w:rsidR="007C011E">
        <w:t>CHL, working in partnership with OCC</w:t>
      </w:r>
      <w:r w:rsidR="00EB6A12">
        <w:t>. This includes a pre-</w:t>
      </w:r>
      <w:r>
        <w:t>consultation survey in March 2019</w:t>
      </w:r>
      <w:r w:rsidR="00EB6A12">
        <w:t>,</w:t>
      </w:r>
      <w:r>
        <w:t xml:space="preserve"> </w:t>
      </w:r>
      <w:r w:rsidR="00EB6A12">
        <w:t xml:space="preserve">engagement events </w:t>
      </w:r>
      <w:r>
        <w:t>in April</w:t>
      </w:r>
      <w:r w:rsidR="007C011E">
        <w:t xml:space="preserve"> 2019</w:t>
      </w:r>
      <w:r w:rsidR="00EB6A12">
        <w:t>, Community Planning Days in May</w:t>
      </w:r>
      <w:r w:rsidR="007C011E">
        <w:t xml:space="preserve"> 2019</w:t>
      </w:r>
      <w:r w:rsidR="00EB6A12">
        <w:t>, workshops with local schools and a Community Report Back event in June</w:t>
      </w:r>
      <w:r w:rsidR="007C011E">
        <w:t xml:space="preserve"> 2019</w:t>
      </w:r>
      <w:r>
        <w:t xml:space="preserve">. Pop-up consultation events have </w:t>
      </w:r>
      <w:r w:rsidR="007C011E">
        <w:t xml:space="preserve">also </w:t>
      </w:r>
      <w:r>
        <w:t xml:space="preserve">been held </w:t>
      </w:r>
      <w:r w:rsidR="009E4355">
        <w:t xml:space="preserve">at </w:t>
      </w:r>
      <w:r w:rsidR="00EB6A12" w:rsidRPr="00EB6A12">
        <w:t xml:space="preserve">key locations and meetings </w:t>
      </w:r>
      <w:r w:rsidR="00EB6A12">
        <w:t xml:space="preserve">held </w:t>
      </w:r>
      <w:r w:rsidR="00EB6A12" w:rsidRPr="00EB6A12">
        <w:t>with local community groups, throughout the process</w:t>
      </w:r>
      <w:r>
        <w:t xml:space="preserve">. </w:t>
      </w:r>
    </w:p>
    <w:p w14:paraId="2CC44A06" w14:textId="77777777" w:rsidR="00EB6A12" w:rsidRDefault="007C011E" w:rsidP="005C0EDF">
      <w:pPr>
        <w:pStyle w:val="ListParagraph"/>
        <w:numPr>
          <w:ilvl w:val="0"/>
          <w:numId w:val="9"/>
        </w:numPr>
        <w:tabs>
          <w:tab w:val="left" w:pos="567"/>
        </w:tabs>
        <w:ind w:left="567" w:right="367" w:hanging="425"/>
        <w:jc w:val="both"/>
      </w:pPr>
      <w:r>
        <w:t xml:space="preserve">CHL </w:t>
      </w:r>
      <w:r w:rsidR="00EB6A12">
        <w:t>has delivered a monthly bullet point briefing, sent to all political stakeholders, partner organisations and interested people signed up to the project mailing list together with a bi-monthly update in the Leys News</w:t>
      </w:r>
    </w:p>
    <w:p w14:paraId="01589F07" w14:textId="77777777" w:rsidR="00D42B5D" w:rsidRDefault="00391AD2" w:rsidP="005C0EDF">
      <w:pPr>
        <w:pStyle w:val="ListParagraph"/>
        <w:numPr>
          <w:ilvl w:val="0"/>
          <w:numId w:val="9"/>
        </w:numPr>
        <w:tabs>
          <w:tab w:val="clear" w:pos="426"/>
          <w:tab w:val="left" w:pos="567"/>
        </w:tabs>
        <w:ind w:left="567" w:right="367" w:hanging="425"/>
        <w:jc w:val="both"/>
      </w:pPr>
      <w:r>
        <w:lastRenderedPageBreak/>
        <w:t>In addition to the community engagement events</w:t>
      </w:r>
      <w:r w:rsidR="007C011E">
        <w:t>,</w:t>
      </w:r>
      <w:r>
        <w:t xml:space="preserve"> meetings have </w:t>
      </w:r>
      <w:r w:rsidR="00BC78DC">
        <w:t xml:space="preserve">been </w:t>
      </w:r>
      <w:r>
        <w:t xml:space="preserve">held with </w:t>
      </w:r>
      <w:r w:rsidR="007C011E">
        <w:t xml:space="preserve">Oxfordshire </w:t>
      </w:r>
      <w:r>
        <w:t xml:space="preserve">County </w:t>
      </w:r>
      <w:r w:rsidR="007C011E">
        <w:t xml:space="preserve">Council </w:t>
      </w:r>
      <w:r>
        <w:t xml:space="preserve">to develop ideas for </w:t>
      </w:r>
      <w:r w:rsidR="00EB6A12">
        <w:t>incorporating</w:t>
      </w:r>
      <w:r>
        <w:t xml:space="preserve"> the existing Blackbird Leys Library into the new Community Centre. These consultations are on-</w:t>
      </w:r>
      <w:r w:rsidR="00EB6A12">
        <w:t>going</w:t>
      </w:r>
      <w:r>
        <w:t>.</w:t>
      </w:r>
    </w:p>
    <w:p w14:paraId="3FD970A9" w14:textId="77777777" w:rsidR="00E67B5F" w:rsidRPr="003D22E6" w:rsidRDefault="00803186" w:rsidP="005C0EDF">
      <w:pPr>
        <w:pStyle w:val="ListParagraph"/>
        <w:numPr>
          <w:ilvl w:val="0"/>
          <w:numId w:val="9"/>
        </w:numPr>
        <w:tabs>
          <w:tab w:val="clear" w:pos="426"/>
          <w:tab w:val="left" w:pos="567"/>
        </w:tabs>
        <w:ind w:left="567" w:right="367" w:hanging="425"/>
        <w:jc w:val="both"/>
      </w:pPr>
      <w:r w:rsidRPr="003D22E6">
        <w:t>A</w:t>
      </w:r>
      <w:r w:rsidR="007C011E">
        <w:t xml:space="preserve"> bullet point briefing will be sent to the mailing list in mid-February and a</w:t>
      </w:r>
      <w:r w:rsidRPr="003D22E6">
        <w:t xml:space="preserve"> </w:t>
      </w:r>
      <w:r w:rsidR="007C011E">
        <w:t>c</w:t>
      </w:r>
      <w:r w:rsidRPr="003D22E6">
        <w:t xml:space="preserve">ommunity </w:t>
      </w:r>
      <w:r w:rsidR="007C011E">
        <w:t>e</w:t>
      </w:r>
      <w:r w:rsidR="000D1F49" w:rsidRPr="003D22E6">
        <w:t>ngagement</w:t>
      </w:r>
      <w:r w:rsidRPr="003D22E6">
        <w:t xml:space="preserve"> event </w:t>
      </w:r>
      <w:r w:rsidR="00EB6A12">
        <w:t>is being held on the 7</w:t>
      </w:r>
      <w:r w:rsidR="00EB6A12" w:rsidRPr="00EB6A12">
        <w:rPr>
          <w:vertAlign w:val="superscript"/>
        </w:rPr>
        <w:t>th</w:t>
      </w:r>
      <w:r w:rsidR="00EB6A12">
        <w:t xml:space="preserve"> </w:t>
      </w:r>
      <w:r w:rsidR="00062C95">
        <w:t>and 10</w:t>
      </w:r>
      <w:r w:rsidR="00062C95" w:rsidRPr="00C0667D">
        <w:rPr>
          <w:vertAlign w:val="superscript"/>
        </w:rPr>
        <w:t>th</w:t>
      </w:r>
      <w:r w:rsidR="00062C95">
        <w:t xml:space="preserve"> </w:t>
      </w:r>
      <w:r w:rsidR="00EB6A12">
        <w:t xml:space="preserve">March </w:t>
      </w:r>
      <w:r w:rsidRPr="003D22E6">
        <w:t xml:space="preserve">to </w:t>
      </w:r>
      <w:r w:rsidR="007C011E">
        <w:t xml:space="preserve">present </w:t>
      </w:r>
      <w:r w:rsidRPr="003D22E6">
        <w:t xml:space="preserve">the </w:t>
      </w:r>
      <w:r w:rsidR="007C011E">
        <w:t xml:space="preserve">latest </w:t>
      </w:r>
      <w:r w:rsidRPr="003D22E6">
        <w:t>masterplan proposals.</w:t>
      </w:r>
    </w:p>
    <w:p w14:paraId="13C3E82D" w14:textId="77777777" w:rsidR="00D42B5D" w:rsidRPr="003D22E6" w:rsidRDefault="00D42B5D" w:rsidP="00564B0A">
      <w:pPr>
        <w:tabs>
          <w:tab w:val="left" w:pos="567"/>
        </w:tabs>
        <w:ind w:left="567" w:right="367" w:hanging="425"/>
        <w:jc w:val="both"/>
        <w:rPr>
          <w:b/>
        </w:rPr>
      </w:pPr>
      <w:r w:rsidRPr="003D22E6">
        <w:rPr>
          <w:b/>
        </w:rPr>
        <w:t>Financial Implications</w:t>
      </w:r>
    </w:p>
    <w:p w14:paraId="5DAED10D" w14:textId="1F071CEB" w:rsidR="007D370C" w:rsidRDefault="00172A3C" w:rsidP="00172A3C">
      <w:pPr>
        <w:pStyle w:val="ListParagraph"/>
        <w:numPr>
          <w:ilvl w:val="0"/>
          <w:numId w:val="9"/>
        </w:numPr>
        <w:tabs>
          <w:tab w:val="clear" w:pos="426"/>
          <w:tab w:val="left" w:pos="567"/>
        </w:tabs>
        <w:ind w:left="567" w:right="367" w:hanging="425"/>
        <w:jc w:val="both"/>
      </w:pPr>
      <w:r>
        <w:t>This report recommends OCC moving through the Stage One Gateway to Stage Two. As part of this OCC need</w:t>
      </w:r>
      <w:r w:rsidR="00DB28E4">
        <w:t>s</w:t>
      </w:r>
      <w:r>
        <w:t xml:space="preserve"> to agree to the Financial Model and the assumptions set out within it. </w:t>
      </w:r>
      <w:r w:rsidR="007D370C">
        <w:t>This model has been produced by CHL and has been independently reviewed and tested by OCC’s advisors</w:t>
      </w:r>
      <w:r w:rsidR="00C83FC4">
        <w:t>, including Mo</w:t>
      </w:r>
      <w:r w:rsidR="00062C95">
        <w:t>n</w:t>
      </w:r>
      <w:r w:rsidR="00C83FC4">
        <w:t>tagu Evans (commercial agents) and Ridge (Quantity Surveyors)</w:t>
      </w:r>
      <w:r w:rsidR="007D370C">
        <w:t xml:space="preserve">.  </w:t>
      </w:r>
    </w:p>
    <w:p w14:paraId="1696BD3C" w14:textId="77777777" w:rsidR="00172A3C" w:rsidRPr="00C0667D" w:rsidRDefault="00172A3C" w:rsidP="005C0EDF">
      <w:pPr>
        <w:pStyle w:val="ListParagraph"/>
        <w:numPr>
          <w:ilvl w:val="0"/>
          <w:numId w:val="9"/>
        </w:numPr>
        <w:tabs>
          <w:tab w:val="clear" w:pos="426"/>
          <w:tab w:val="left" w:pos="567"/>
          <w:tab w:val="left" w:pos="1844"/>
        </w:tabs>
        <w:ind w:left="567" w:right="367" w:hanging="425"/>
        <w:jc w:val="both"/>
        <w:rPr>
          <w:rFonts w:cs="Arial"/>
          <w:color w:val="auto"/>
        </w:rPr>
      </w:pPr>
      <w:r>
        <w:t>CHL</w:t>
      </w:r>
      <w:r w:rsidRPr="000D1F49">
        <w:t xml:space="preserve"> </w:t>
      </w:r>
      <w:r w:rsidR="00803186" w:rsidRPr="000D1F49">
        <w:t xml:space="preserve">were selected as the preferred </w:t>
      </w:r>
      <w:r w:rsidR="002A4848" w:rsidRPr="000D1F49">
        <w:t>Development</w:t>
      </w:r>
      <w:r w:rsidR="00803186" w:rsidRPr="000D1F49">
        <w:t xml:space="preserve"> </w:t>
      </w:r>
      <w:r>
        <w:t>P</w:t>
      </w:r>
      <w:r w:rsidR="00803186" w:rsidRPr="000D1F49">
        <w:t>artner</w:t>
      </w:r>
      <w:r>
        <w:t>, based on</w:t>
      </w:r>
      <w:r w:rsidR="00803186" w:rsidRPr="000D1F49">
        <w:t xml:space="preserve"> the highest scores on </w:t>
      </w:r>
      <w:r>
        <w:t xml:space="preserve">both </w:t>
      </w:r>
      <w:r w:rsidR="00803186" w:rsidRPr="000D1F49">
        <w:t>quality</w:t>
      </w:r>
      <w:r w:rsidR="00EB6A12">
        <w:t xml:space="preserve"> </w:t>
      </w:r>
      <w:r w:rsidR="002A4848" w:rsidRPr="000D1F49">
        <w:t>and</w:t>
      </w:r>
      <w:r w:rsidR="007F4EAF" w:rsidRPr="000D1F49">
        <w:t xml:space="preserve"> </w:t>
      </w:r>
      <w:r w:rsidR="00EB6A12">
        <w:t>financially</w:t>
      </w:r>
      <w:r w:rsidR="007F4EAF" w:rsidRPr="000D1F49">
        <w:t xml:space="preserve"> because </w:t>
      </w:r>
      <w:r w:rsidR="002A4848">
        <w:t>the</w:t>
      </w:r>
      <w:r w:rsidR="007F4EAF" w:rsidRPr="000D1F49">
        <w:t>y had the lowest profit margin o</w:t>
      </w:r>
      <w:r w:rsidR="00EB6A12">
        <w:t>n</w:t>
      </w:r>
      <w:r w:rsidR="007F4EAF" w:rsidRPr="000D1F49">
        <w:t xml:space="preserve"> costs. </w:t>
      </w:r>
      <w:r>
        <w:t>As such, they represent the best value bidder to OCC for the project.</w:t>
      </w:r>
    </w:p>
    <w:p w14:paraId="2FE674A6" w14:textId="04904C29" w:rsidR="000C046C" w:rsidRPr="000C046C" w:rsidRDefault="007F4EAF" w:rsidP="005C0EDF">
      <w:pPr>
        <w:pStyle w:val="ListParagraph"/>
        <w:numPr>
          <w:ilvl w:val="0"/>
          <w:numId w:val="9"/>
        </w:numPr>
        <w:tabs>
          <w:tab w:val="clear" w:pos="426"/>
          <w:tab w:val="left" w:pos="567"/>
          <w:tab w:val="left" w:pos="1844"/>
        </w:tabs>
        <w:ind w:left="567" w:right="367" w:hanging="425"/>
        <w:jc w:val="both"/>
        <w:rPr>
          <w:rFonts w:cs="Arial"/>
          <w:color w:val="auto"/>
        </w:rPr>
      </w:pPr>
      <w:r w:rsidRPr="00EB6A12">
        <w:rPr>
          <w:color w:val="auto"/>
        </w:rPr>
        <w:t xml:space="preserve">It was recognised on </w:t>
      </w:r>
      <w:r w:rsidR="00C210D0" w:rsidRPr="00EB6A12">
        <w:rPr>
          <w:color w:val="auto"/>
        </w:rPr>
        <w:t xml:space="preserve">the </w:t>
      </w:r>
      <w:r w:rsidRPr="00EB6A12">
        <w:rPr>
          <w:color w:val="auto"/>
        </w:rPr>
        <w:t xml:space="preserve">selection </w:t>
      </w:r>
      <w:r w:rsidR="00C210D0" w:rsidRPr="00EB6A12">
        <w:rPr>
          <w:color w:val="auto"/>
        </w:rPr>
        <w:t xml:space="preserve">of </w:t>
      </w:r>
      <w:r w:rsidR="0088104A">
        <w:rPr>
          <w:color w:val="auto"/>
        </w:rPr>
        <w:t>CHL</w:t>
      </w:r>
      <w:r w:rsidR="0088104A" w:rsidRPr="00EB6A12">
        <w:rPr>
          <w:color w:val="auto"/>
        </w:rPr>
        <w:t xml:space="preserve"> </w:t>
      </w:r>
      <w:r w:rsidRPr="00EB6A12">
        <w:rPr>
          <w:color w:val="auto"/>
        </w:rPr>
        <w:t>that the p</w:t>
      </w:r>
      <w:r w:rsidR="003246DB" w:rsidRPr="00EB6A12">
        <w:rPr>
          <w:color w:val="auto"/>
        </w:rPr>
        <w:t xml:space="preserve">roject </w:t>
      </w:r>
      <w:r w:rsidRPr="00EB6A12">
        <w:rPr>
          <w:color w:val="auto"/>
        </w:rPr>
        <w:t>would</w:t>
      </w:r>
      <w:r w:rsidR="0088104A">
        <w:rPr>
          <w:color w:val="auto"/>
        </w:rPr>
        <w:t>, alongside work to make the scheme more efficient,</w:t>
      </w:r>
      <w:r w:rsidRPr="00EB6A12">
        <w:rPr>
          <w:color w:val="auto"/>
        </w:rPr>
        <w:t xml:space="preserve"> require</w:t>
      </w:r>
      <w:r w:rsidR="003246DB" w:rsidRPr="00EB6A12">
        <w:rPr>
          <w:color w:val="auto"/>
        </w:rPr>
        <w:t xml:space="preserve"> a significant amount of subsidy</w:t>
      </w:r>
      <w:r w:rsidR="0088104A">
        <w:rPr>
          <w:color w:val="auto"/>
        </w:rPr>
        <w:t>,</w:t>
      </w:r>
      <w:r w:rsidR="003246DB" w:rsidRPr="00EB6A12">
        <w:rPr>
          <w:color w:val="auto"/>
        </w:rPr>
        <w:t xml:space="preserve"> including assumptions around housing grant</w:t>
      </w:r>
      <w:r w:rsidR="0088104A">
        <w:rPr>
          <w:color w:val="auto"/>
        </w:rPr>
        <w:t>, the potential to secure external funds from the Housing and Infrastructure Fund (</w:t>
      </w:r>
      <w:r w:rsidR="003246DB" w:rsidRPr="00EB6A12">
        <w:rPr>
          <w:color w:val="auto"/>
        </w:rPr>
        <w:t>HIF</w:t>
      </w:r>
      <w:r w:rsidR="0088104A">
        <w:rPr>
          <w:color w:val="auto"/>
        </w:rPr>
        <w:t>)</w:t>
      </w:r>
      <w:r w:rsidR="003246DB" w:rsidRPr="00EB6A12">
        <w:rPr>
          <w:color w:val="auto"/>
        </w:rPr>
        <w:t>,</w:t>
      </w:r>
      <w:r w:rsidR="0088104A">
        <w:rPr>
          <w:color w:val="auto"/>
        </w:rPr>
        <w:t xml:space="preserve"> alongside the potential to use some of OCC’s Section </w:t>
      </w:r>
      <w:r w:rsidR="003246DB" w:rsidRPr="00EB6A12">
        <w:rPr>
          <w:color w:val="auto"/>
        </w:rPr>
        <w:t xml:space="preserve">106 </w:t>
      </w:r>
      <w:r w:rsidR="0088104A">
        <w:rPr>
          <w:color w:val="auto"/>
        </w:rPr>
        <w:t xml:space="preserve">off-site </w:t>
      </w:r>
      <w:r w:rsidR="003246DB" w:rsidRPr="00EB6A12">
        <w:rPr>
          <w:color w:val="auto"/>
        </w:rPr>
        <w:t>affordable housing contribution</w:t>
      </w:r>
      <w:r w:rsidR="0088104A">
        <w:rPr>
          <w:color w:val="auto"/>
        </w:rPr>
        <w:t>s</w:t>
      </w:r>
      <w:r w:rsidR="000C046C">
        <w:rPr>
          <w:color w:val="auto"/>
        </w:rPr>
        <w:t>. CHL have also provide</w:t>
      </w:r>
      <w:r w:rsidR="00F37445">
        <w:rPr>
          <w:color w:val="auto"/>
        </w:rPr>
        <w:t>d</w:t>
      </w:r>
      <w:r w:rsidR="000C046C">
        <w:rPr>
          <w:color w:val="auto"/>
        </w:rPr>
        <w:t xml:space="preserve"> a level of internal subsidy to help bridge the gap.</w:t>
      </w:r>
    </w:p>
    <w:p w14:paraId="6D0B3654" w14:textId="77777777" w:rsidR="00DB28E4" w:rsidRPr="00DB28E4" w:rsidRDefault="00DB28E4" w:rsidP="005C0EDF">
      <w:pPr>
        <w:pStyle w:val="ListParagraph"/>
        <w:numPr>
          <w:ilvl w:val="0"/>
          <w:numId w:val="9"/>
        </w:numPr>
        <w:tabs>
          <w:tab w:val="clear" w:pos="426"/>
          <w:tab w:val="left" w:pos="567"/>
          <w:tab w:val="left" w:pos="1844"/>
        </w:tabs>
        <w:ind w:left="567" w:right="367" w:hanging="425"/>
        <w:jc w:val="both"/>
        <w:rPr>
          <w:rFonts w:cs="Arial"/>
          <w:color w:val="auto"/>
        </w:rPr>
      </w:pPr>
      <w:r>
        <w:t>The infrastructure and community facility and retail re-provision to deliver the comprehensive regeneration at Blackbird Leys is of a scale that also requires re-investment of the Community Infrastructure Levy (CIL) receipts generated from the site</w:t>
      </w:r>
      <w:r>
        <w:rPr>
          <w:color w:val="auto"/>
        </w:rPr>
        <w:t xml:space="preserve">. </w:t>
      </w:r>
      <w:r>
        <w:t>In the normal course of events the City and County Councils are required to consider what infrastructure is needed to mitigate the impact of developments across the City. The process is then for the City Council, as the sole recipient of CIL payments, to confirm in its capital programmes what infrastructure is to be paid for from CIL.</w:t>
      </w:r>
      <w:r>
        <w:rPr>
          <w:color w:val="auto"/>
        </w:rPr>
        <w:t xml:space="preserve"> </w:t>
      </w:r>
    </w:p>
    <w:p w14:paraId="5B62B559" w14:textId="7BFEF500" w:rsidR="00954C82" w:rsidRDefault="00954C82" w:rsidP="005C0EDF">
      <w:pPr>
        <w:pStyle w:val="ListParagraph"/>
        <w:numPr>
          <w:ilvl w:val="0"/>
          <w:numId w:val="9"/>
        </w:numPr>
        <w:tabs>
          <w:tab w:val="clear" w:pos="426"/>
          <w:tab w:val="left" w:pos="567"/>
          <w:tab w:val="left" w:pos="1844"/>
        </w:tabs>
        <w:ind w:left="567" w:right="367" w:hanging="425"/>
        <w:jc w:val="both"/>
        <w:rPr>
          <w:rFonts w:cs="Arial"/>
          <w:color w:val="auto"/>
        </w:rPr>
      </w:pPr>
      <w:r>
        <w:rPr>
          <w:color w:val="auto"/>
        </w:rPr>
        <w:t>The re</w:t>
      </w:r>
      <w:r w:rsidRPr="00954C82">
        <w:rPr>
          <w:rFonts w:cs="Arial"/>
          <w:color w:val="auto"/>
        </w:rPr>
        <w:t>-</w:t>
      </w:r>
      <w:r>
        <w:rPr>
          <w:rFonts w:cs="Arial"/>
          <w:color w:val="auto"/>
        </w:rPr>
        <w:t>provision of the existing retail and community facilities, the low</w:t>
      </w:r>
      <w:r w:rsidR="00DF780D">
        <w:rPr>
          <w:rFonts w:cs="Arial"/>
          <w:color w:val="auto"/>
        </w:rPr>
        <w:t xml:space="preserve"> value</w:t>
      </w:r>
      <w:r>
        <w:rPr>
          <w:rFonts w:cs="Arial"/>
          <w:color w:val="auto"/>
        </w:rPr>
        <w:t xml:space="preserve"> housing and the significant infrastructure and public space improvements are identified in the viability report as contributing to the significant deficit on the scheme – </w:t>
      </w:r>
      <w:r w:rsidR="00BB1213">
        <w:rPr>
          <w:rFonts w:cs="Arial"/>
          <w:color w:val="auto"/>
        </w:rPr>
        <w:t xml:space="preserve">in addition to </w:t>
      </w:r>
      <w:r>
        <w:rPr>
          <w:rFonts w:cs="Arial"/>
          <w:color w:val="auto"/>
        </w:rPr>
        <w:t xml:space="preserve">other </w:t>
      </w:r>
      <w:r w:rsidR="00BB1213">
        <w:rPr>
          <w:rFonts w:cs="Arial"/>
          <w:color w:val="auto"/>
        </w:rPr>
        <w:t xml:space="preserve">public </w:t>
      </w:r>
      <w:r>
        <w:rPr>
          <w:rFonts w:cs="Arial"/>
          <w:color w:val="auto"/>
        </w:rPr>
        <w:t xml:space="preserve">funding already </w:t>
      </w:r>
      <w:r w:rsidR="00BB1213">
        <w:rPr>
          <w:rFonts w:cs="Arial"/>
          <w:color w:val="auto"/>
        </w:rPr>
        <w:t>identified</w:t>
      </w:r>
      <w:r>
        <w:rPr>
          <w:rFonts w:cs="Arial"/>
          <w:color w:val="auto"/>
        </w:rPr>
        <w:t xml:space="preserve">. The proposal is to use the CIL receipts </w:t>
      </w:r>
      <w:r w:rsidR="00834EB5">
        <w:rPr>
          <w:rFonts w:cs="Arial"/>
          <w:color w:val="auto"/>
        </w:rPr>
        <w:t xml:space="preserve">of £902K </w:t>
      </w:r>
      <w:r>
        <w:rPr>
          <w:rFonts w:cs="Arial"/>
          <w:color w:val="auto"/>
        </w:rPr>
        <w:t xml:space="preserve">generated </w:t>
      </w:r>
      <w:r w:rsidR="00DF780D">
        <w:rPr>
          <w:rFonts w:cs="Arial"/>
          <w:color w:val="auto"/>
        </w:rPr>
        <w:t xml:space="preserve">by the scheme </w:t>
      </w:r>
      <w:r>
        <w:rPr>
          <w:rFonts w:cs="Arial"/>
          <w:color w:val="auto"/>
        </w:rPr>
        <w:t xml:space="preserve">to facilitate the delivery of the community and infrastructure works set out in the concept plan. </w:t>
      </w:r>
    </w:p>
    <w:p w14:paraId="74D3F657" w14:textId="7F0A02C6" w:rsidR="00954C82" w:rsidRPr="0088104A" w:rsidRDefault="00954C82" w:rsidP="00C0667D">
      <w:pPr>
        <w:pStyle w:val="ListParagraph"/>
        <w:numPr>
          <w:ilvl w:val="0"/>
          <w:numId w:val="9"/>
        </w:numPr>
        <w:tabs>
          <w:tab w:val="clear" w:pos="426"/>
          <w:tab w:val="left" w:pos="567"/>
          <w:tab w:val="left" w:pos="1844"/>
        </w:tabs>
        <w:ind w:left="567" w:right="367" w:hanging="425"/>
        <w:jc w:val="both"/>
        <w:rPr>
          <w:rFonts w:cs="Arial"/>
          <w:color w:val="auto"/>
        </w:rPr>
      </w:pPr>
      <w:r w:rsidRPr="00954C82">
        <w:rPr>
          <w:rFonts w:cs="Arial"/>
          <w:color w:val="auto"/>
        </w:rPr>
        <w:t xml:space="preserve">This report seeks </w:t>
      </w:r>
      <w:r>
        <w:rPr>
          <w:rFonts w:cs="Arial"/>
          <w:color w:val="auto"/>
        </w:rPr>
        <w:t>Cabinet</w:t>
      </w:r>
      <w:r w:rsidRPr="00954C82">
        <w:rPr>
          <w:rFonts w:cs="Arial"/>
          <w:color w:val="auto"/>
        </w:rPr>
        <w:t xml:space="preserve"> approval for this approach in principle and to recommend to Council that this commitment is recognised in the Capital Programme in </w:t>
      </w:r>
      <w:r>
        <w:rPr>
          <w:rFonts w:cs="Arial"/>
          <w:color w:val="auto"/>
        </w:rPr>
        <w:t>2022/23</w:t>
      </w:r>
      <w:r w:rsidRPr="00954C82">
        <w:rPr>
          <w:rFonts w:cs="Arial"/>
          <w:color w:val="auto"/>
        </w:rPr>
        <w:t xml:space="preserve"> and beyond as a potential future earmarked CIL receipt (for investment in strategic infrastructure </w:t>
      </w:r>
      <w:r>
        <w:rPr>
          <w:rFonts w:cs="Arial"/>
          <w:color w:val="auto"/>
        </w:rPr>
        <w:t xml:space="preserve">and community facilities </w:t>
      </w:r>
      <w:r w:rsidRPr="00954C82">
        <w:rPr>
          <w:rFonts w:cs="Arial"/>
          <w:color w:val="auto"/>
        </w:rPr>
        <w:t xml:space="preserve">at </w:t>
      </w:r>
      <w:r>
        <w:rPr>
          <w:rFonts w:cs="Arial"/>
          <w:color w:val="auto"/>
        </w:rPr>
        <w:t>Blackbird Leys</w:t>
      </w:r>
      <w:r w:rsidRPr="00954C82">
        <w:rPr>
          <w:rFonts w:cs="Arial"/>
          <w:color w:val="auto"/>
        </w:rPr>
        <w:t xml:space="preserve">) </w:t>
      </w:r>
      <w:r>
        <w:rPr>
          <w:rFonts w:cs="Arial"/>
          <w:color w:val="auto"/>
        </w:rPr>
        <w:t>and</w:t>
      </w:r>
      <w:r w:rsidRPr="00954C82">
        <w:rPr>
          <w:rFonts w:cs="Arial"/>
          <w:color w:val="auto"/>
        </w:rPr>
        <w:t xml:space="preserve"> subject to planning</w:t>
      </w:r>
      <w:r w:rsidR="00DF780D">
        <w:rPr>
          <w:rFonts w:cs="Arial"/>
          <w:color w:val="auto"/>
        </w:rPr>
        <w:t xml:space="preserve"> permission being granted</w:t>
      </w:r>
      <w:r w:rsidRPr="00954C82">
        <w:rPr>
          <w:rFonts w:cs="Arial"/>
          <w:color w:val="auto"/>
        </w:rPr>
        <w:t>.</w:t>
      </w:r>
    </w:p>
    <w:p w14:paraId="313C0E02" w14:textId="3E4BD82B" w:rsidR="009F7DC0" w:rsidRDefault="009F7DC0" w:rsidP="009F7DC0">
      <w:pPr>
        <w:pStyle w:val="ListParagraph"/>
        <w:numPr>
          <w:ilvl w:val="0"/>
          <w:numId w:val="9"/>
        </w:numPr>
        <w:tabs>
          <w:tab w:val="clear" w:pos="426"/>
          <w:tab w:val="left" w:pos="567"/>
        </w:tabs>
        <w:ind w:left="567" w:right="367" w:hanging="425"/>
        <w:jc w:val="both"/>
      </w:pPr>
      <w:r w:rsidRPr="000D1F49">
        <w:t xml:space="preserve">The Development Agreement </w:t>
      </w:r>
      <w:r>
        <w:t xml:space="preserve">sets </w:t>
      </w:r>
      <w:r w:rsidRPr="000D1F49">
        <w:t xml:space="preserve">Benchmark Financial Assumptions </w:t>
      </w:r>
      <w:r>
        <w:t xml:space="preserve">within the CHL Financial Model. These are </w:t>
      </w:r>
      <w:r w:rsidRPr="000D1F49">
        <w:t xml:space="preserve">finance costs, development management fee, overheads and gross profit margin. </w:t>
      </w:r>
      <w:r>
        <w:t xml:space="preserve">Further, commercially sensitive, </w:t>
      </w:r>
      <w:r>
        <w:lastRenderedPageBreak/>
        <w:t xml:space="preserve">details about the Development Agreement are set out in the confidential </w:t>
      </w:r>
      <w:r w:rsidR="00834EB5">
        <w:t>financial summary report appendix 3</w:t>
      </w:r>
    </w:p>
    <w:p w14:paraId="029E4DBD" w14:textId="3DEC5BEC" w:rsidR="000D1F49" w:rsidRPr="00EB6A12" w:rsidRDefault="00A83A38" w:rsidP="005C0EDF">
      <w:pPr>
        <w:pStyle w:val="ListParagraph"/>
        <w:numPr>
          <w:ilvl w:val="0"/>
          <w:numId w:val="9"/>
        </w:numPr>
        <w:tabs>
          <w:tab w:val="clear" w:pos="426"/>
          <w:tab w:val="left" w:pos="567"/>
          <w:tab w:val="left" w:pos="1844"/>
        </w:tabs>
        <w:ind w:left="567" w:right="367" w:hanging="425"/>
        <w:jc w:val="both"/>
        <w:rPr>
          <w:rFonts w:cs="Arial"/>
          <w:color w:val="auto"/>
        </w:rPr>
      </w:pPr>
      <w:r>
        <w:rPr>
          <w:color w:val="auto"/>
        </w:rPr>
        <w:t>The total</w:t>
      </w:r>
      <w:r w:rsidR="009F7DC0">
        <w:rPr>
          <w:color w:val="auto"/>
        </w:rPr>
        <w:t xml:space="preserve"> capital</w:t>
      </w:r>
      <w:r>
        <w:rPr>
          <w:color w:val="auto"/>
        </w:rPr>
        <w:t xml:space="preserve"> cost of the scheme is approximately </w:t>
      </w:r>
      <w:r w:rsidR="00FC79D4">
        <w:rPr>
          <w:color w:val="auto"/>
        </w:rPr>
        <w:t>£</w:t>
      </w:r>
      <w:r w:rsidR="00FC3658">
        <w:rPr>
          <w:color w:val="auto"/>
        </w:rPr>
        <w:t>100</w:t>
      </w:r>
      <w:r w:rsidR="00FC79D4">
        <w:rPr>
          <w:color w:val="auto"/>
        </w:rPr>
        <w:t>.</w:t>
      </w:r>
      <w:r w:rsidR="00E610D6">
        <w:rPr>
          <w:color w:val="auto"/>
        </w:rPr>
        <w:t>621</w:t>
      </w:r>
      <w:r>
        <w:rPr>
          <w:color w:val="auto"/>
        </w:rPr>
        <w:t xml:space="preserve"> million</w:t>
      </w:r>
      <w:r w:rsidR="00F126C8">
        <w:rPr>
          <w:color w:val="auto"/>
        </w:rPr>
        <w:t xml:space="preserve">. </w:t>
      </w:r>
      <w:r w:rsidR="00EB6A12" w:rsidRPr="00EB6A12">
        <w:rPr>
          <w:color w:val="auto"/>
        </w:rPr>
        <w:t xml:space="preserve">The </w:t>
      </w:r>
      <w:r w:rsidR="0088104A">
        <w:rPr>
          <w:color w:val="auto"/>
        </w:rPr>
        <w:t xml:space="preserve">work to </w:t>
      </w:r>
      <w:r w:rsidR="003019BE">
        <w:rPr>
          <w:color w:val="auto"/>
        </w:rPr>
        <w:t xml:space="preserve">establish </w:t>
      </w:r>
      <w:r w:rsidR="00F126C8">
        <w:rPr>
          <w:color w:val="auto"/>
        </w:rPr>
        <w:t xml:space="preserve">scheme </w:t>
      </w:r>
      <w:r w:rsidR="003019BE">
        <w:rPr>
          <w:color w:val="auto"/>
        </w:rPr>
        <w:t>efficiencies</w:t>
      </w:r>
      <w:r w:rsidR="009F7DC0">
        <w:rPr>
          <w:color w:val="auto"/>
        </w:rPr>
        <w:t>, reduce costs, maximise</w:t>
      </w:r>
      <w:r w:rsidR="00F126C8">
        <w:rPr>
          <w:color w:val="auto"/>
        </w:rPr>
        <w:t xml:space="preserve"> income</w:t>
      </w:r>
      <w:r w:rsidR="009F7DC0">
        <w:rPr>
          <w:color w:val="auto"/>
        </w:rPr>
        <w:t>,</w:t>
      </w:r>
      <w:r w:rsidR="00F37445">
        <w:rPr>
          <w:color w:val="auto"/>
        </w:rPr>
        <w:t xml:space="preserve"> establish</w:t>
      </w:r>
      <w:r w:rsidR="009F7DC0">
        <w:rPr>
          <w:color w:val="auto"/>
        </w:rPr>
        <w:t xml:space="preserve"> allocated housing grant</w:t>
      </w:r>
      <w:r w:rsidR="003019BE">
        <w:rPr>
          <w:color w:val="auto"/>
        </w:rPr>
        <w:t xml:space="preserve"> and identify </w:t>
      </w:r>
      <w:r w:rsidR="009F7DC0">
        <w:rPr>
          <w:color w:val="auto"/>
        </w:rPr>
        <w:t>further CHL</w:t>
      </w:r>
      <w:r w:rsidR="003019BE">
        <w:rPr>
          <w:color w:val="auto"/>
        </w:rPr>
        <w:t xml:space="preserve"> internal subsidy </w:t>
      </w:r>
      <w:r w:rsidR="00EB6A12" w:rsidRPr="00EB6A12">
        <w:rPr>
          <w:color w:val="auto"/>
        </w:rPr>
        <w:t xml:space="preserve">has reduced the deficit </w:t>
      </w:r>
      <w:r w:rsidR="009F7DC0">
        <w:rPr>
          <w:color w:val="auto"/>
        </w:rPr>
        <w:t>i</w:t>
      </w:r>
      <w:r w:rsidR="00AB1BE6">
        <w:rPr>
          <w:color w:val="auto"/>
        </w:rPr>
        <w:t>n the</w:t>
      </w:r>
      <w:r w:rsidR="009F7DC0">
        <w:rPr>
          <w:color w:val="auto"/>
        </w:rPr>
        <w:t xml:space="preserve"> CHL</w:t>
      </w:r>
      <w:r w:rsidR="00AB1BE6">
        <w:rPr>
          <w:color w:val="auto"/>
        </w:rPr>
        <w:t xml:space="preserve"> </w:t>
      </w:r>
      <w:r w:rsidR="009F7DC0">
        <w:rPr>
          <w:color w:val="auto"/>
        </w:rPr>
        <w:t xml:space="preserve">Financial Model </w:t>
      </w:r>
      <w:r w:rsidR="00D85714" w:rsidRPr="00EB6A12">
        <w:rPr>
          <w:color w:val="auto"/>
        </w:rPr>
        <w:t>to</w:t>
      </w:r>
      <w:r w:rsidR="00D85714">
        <w:rPr>
          <w:color w:val="auto"/>
        </w:rPr>
        <w:t xml:space="preserve"> </w:t>
      </w:r>
      <w:r w:rsidR="00D85714" w:rsidRPr="00EB6A12">
        <w:rPr>
          <w:color w:val="auto"/>
        </w:rPr>
        <w:t>£</w:t>
      </w:r>
      <w:r w:rsidR="00551965">
        <w:rPr>
          <w:color w:val="auto"/>
        </w:rPr>
        <w:t>12.</w:t>
      </w:r>
      <w:r w:rsidR="00D85714">
        <w:rPr>
          <w:color w:val="auto"/>
        </w:rPr>
        <w:t>678</w:t>
      </w:r>
      <w:r w:rsidR="00E610D6">
        <w:rPr>
          <w:color w:val="auto"/>
        </w:rPr>
        <w:t xml:space="preserve"> </w:t>
      </w:r>
      <w:r w:rsidR="00551965">
        <w:rPr>
          <w:color w:val="auto"/>
        </w:rPr>
        <w:t>m</w:t>
      </w:r>
      <w:r w:rsidR="00E610D6">
        <w:rPr>
          <w:color w:val="auto"/>
        </w:rPr>
        <w:t>illion</w:t>
      </w:r>
      <w:r w:rsidR="00EB6A12" w:rsidRPr="00EB6A12">
        <w:rPr>
          <w:color w:val="auto"/>
        </w:rPr>
        <w:t xml:space="preserve">. </w:t>
      </w:r>
    </w:p>
    <w:p w14:paraId="0E18EEF4" w14:textId="37AD7430" w:rsidR="003019BE" w:rsidRDefault="003019BE" w:rsidP="003019BE">
      <w:pPr>
        <w:pStyle w:val="ListParagraph"/>
        <w:numPr>
          <w:ilvl w:val="0"/>
          <w:numId w:val="9"/>
        </w:numPr>
        <w:tabs>
          <w:tab w:val="clear" w:pos="426"/>
          <w:tab w:val="left" w:pos="567"/>
        </w:tabs>
        <w:ind w:left="567" w:right="367" w:hanging="425"/>
        <w:jc w:val="both"/>
      </w:pPr>
      <w:r>
        <w:t xml:space="preserve">It should be noted that the Development Agreement </w:t>
      </w:r>
      <w:r w:rsidR="009F7DC0">
        <w:t xml:space="preserve">also </w:t>
      </w:r>
      <w:r>
        <w:t>requires certain costs to be met by OCC</w:t>
      </w:r>
      <w:r w:rsidR="009F7DC0">
        <w:t>, which sit outside the Financial Model and are therefore additional</w:t>
      </w:r>
      <w:r>
        <w:t xml:space="preserve">. These include achieving Vacant Possession of the development sites and internal project delivery costs, such as staff and OCC professional advisors. These costs are direct to OCC and as such are on top of any assumptions in the CHL Financial Model. These costs are budgeted as </w:t>
      </w:r>
      <w:r w:rsidR="00452A78">
        <w:t>£</w:t>
      </w:r>
      <w:r w:rsidR="00D85714">
        <w:t>8.</w:t>
      </w:r>
      <w:r w:rsidR="00E610D6">
        <w:t xml:space="preserve">440 </w:t>
      </w:r>
      <w:r w:rsidR="00DD7125">
        <w:t>m</w:t>
      </w:r>
      <w:r w:rsidR="00E610D6">
        <w:t>illion</w:t>
      </w:r>
      <w:r w:rsidR="00551965">
        <w:t xml:space="preserve"> including contingency</w:t>
      </w:r>
      <w:r w:rsidR="0012292A">
        <w:t>.</w:t>
      </w:r>
    </w:p>
    <w:p w14:paraId="5D8F90C5" w14:textId="6709BA30" w:rsidR="009F7DC0" w:rsidRPr="00172A3C" w:rsidRDefault="009F7DC0" w:rsidP="003019BE">
      <w:pPr>
        <w:pStyle w:val="ListParagraph"/>
        <w:numPr>
          <w:ilvl w:val="0"/>
          <w:numId w:val="9"/>
        </w:numPr>
        <w:tabs>
          <w:tab w:val="clear" w:pos="426"/>
          <w:tab w:val="left" w:pos="567"/>
        </w:tabs>
        <w:ind w:left="567" w:right="367" w:hanging="425"/>
        <w:jc w:val="both"/>
      </w:pPr>
      <w:r>
        <w:t>As such, the total scheme deficit, when taking account of the deficit from the CHL Financial Model and the additional costs that sit directly with OCC is currently £</w:t>
      </w:r>
      <w:r w:rsidR="007415EE">
        <w:t>23.</w:t>
      </w:r>
      <w:r w:rsidR="00C164D0">
        <w:t>375</w:t>
      </w:r>
      <w:r w:rsidR="00135DA5">
        <w:t xml:space="preserve"> </w:t>
      </w:r>
      <w:r w:rsidR="007415EE">
        <w:t>m</w:t>
      </w:r>
      <w:r w:rsidR="00135DA5">
        <w:t>illion</w:t>
      </w:r>
      <w:r>
        <w:t>.</w:t>
      </w:r>
      <w:r w:rsidR="00AC6C59">
        <w:t xml:space="preserve"> This is reduced to £</w:t>
      </w:r>
      <w:r w:rsidR="007415EE">
        <w:t>21</w:t>
      </w:r>
      <w:r w:rsidR="002F21E3">
        <w:t>.</w:t>
      </w:r>
      <w:r w:rsidR="00C164D0">
        <w:t>528</w:t>
      </w:r>
      <w:r w:rsidR="00135DA5">
        <w:t xml:space="preserve"> </w:t>
      </w:r>
      <w:r w:rsidR="002F21E3">
        <w:t>m</w:t>
      </w:r>
      <w:r w:rsidR="00135DA5">
        <w:t>illion</w:t>
      </w:r>
      <w:r w:rsidR="002F21E3">
        <w:t xml:space="preserve"> </w:t>
      </w:r>
      <w:r w:rsidR="00AC6C59">
        <w:t>when the finance savings generated by the CIL relief and HIF funding are taken in to account.</w:t>
      </w:r>
    </w:p>
    <w:p w14:paraId="210EBF3F" w14:textId="77777777" w:rsidR="008547AB" w:rsidRPr="00107A9E" w:rsidRDefault="008547AB" w:rsidP="00DD7125">
      <w:pPr>
        <w:pStyle w:val="ListParagraph"/>
        <w:numPr>
          <w:ilvl w:val="0"/>
          <w:numId w:val="0"/>
        </w:numPr>
        <w:tabs>
          <w:tab w:val="left" w:pos="1844"/>
        </w:tabs>
        <w:ind w:left="567" w:hanging="425"/>
        <w:rPr>
          <w:b/>
        </w:rPr>
      </w:pPr>
      <w:r w:rsidRPr="00107A9E">
        <w:rPr>
          <w:b/>
        </w:rPr>
        <w:t>OCC Funding</w:t>
      </w:r>
    </w:p>
    <w:p w14:paraId="1787A340" w14:textId="7C24A1F4" w:rsidR="00F86334" w:rsidRPr="00834EB5" w:rsidRDefault="00F86334" w:rsidP="00956F06">
      <w:pPr>
        <w:pStyle w:val="ListParagraph"/>
        <w:numPr>
          <w:ilvl w:val="0"/>
          <w:numId w:val="9"/>
        </w:numPr>
        <w:tabs>
          <w:tab w:val="clear" w:pos="426"/>
          <w:tab w:val="left" w:pos="567"/>
        </w:tabs>
        <w:ind w:left="567" w:right="367" w:hanging="425"/>
        <w:jc w:val="both"/>
        <w:rPr>
          <w:color w:val="auto"/>
        </w:rPr>
      </w:pPr>
      <w:r>
        <w:rPr>
          <w:color w:val="auto"/>
        </w:rPr>
        <w:t xml:space="preserve">To ensure project delivery, OCC will need to agree that it is able to meet the deficit shortfall. The proposed mix of funding to achieve this is set out below. </w:t>
      </w:r>
    </w:p>
    <w:p w14:paraId="4DCB8C02" w14:textId="2F8F3604" w:rsidR="00506104" w:rsidRPr="00EB6A12" w:rsidRDefault="00417ECA" w:rsidP="00956F06">
      <w:pPr>
        <w:pStyle w:val="ListParagraph"/>
        <w:numPr>
          <w:ilvl w:val="0"/>
          <w:numId w:val="9"/>
        </w:numPr>
        <w:tabs>
          <w:tab w:val="clear" w:pos="426"/>
          <w:tab w:val="left" w:pos="567"/>
        </w:tabs>
        <w:ind w:left="567" w:right="367" w:hanging="425"/>
        <w:jc w:val="both"/>
        <w:rPr>
          <w:color w:val="auto"/>
        </w:rPr>
      </w:pPr>
      <w:r w:rsidRPr="00956F06">
        <w:rPr>
          <w:b/>
          <w:color w:val="auto"/>
        </w:rPr>
        <w:t>Housing Infrastr</w:t>
      </w:r>
      <w:r w:rsidR="00A73098">
        <w:rPr>
          <w:b/>
          <w:color w:val="auto"/>
        </w:rPr>
        <w:t>uc</w:t>
      </w:r>
      <w:r w:rsidRPr="00A73098">
        <w:rPr>
          <w:b/>
          <w:color w:val="auto"/>
        </w:rPr>
        <w:t>ture Funding</w:t>
      </w:r>
      <w:r w:rsidRPr="00417ECA">
        <w:rPr>
          <w:color w:val="auto"/>
        </w:rPr>
        <w:t xml:space="preserve"> -</w:t>
      </w:r>
      <w:r>
        <w:rPr>
          <w:color w:val="auto"/>
        </w:rPr>
        <w:t xml:space="preserve"> </w:t>
      </w:r>
      <w:r w:rsidR="00DE4E97">
        <w:rPr>
          <w:color w:val="auto"/>
        </w:rPr>
        <w:t xml:space="preserve">OCC has entered into a contract with Homes England </w:t>
      </w:r>
      <w:r w:rsidR="000D1F49" w:rsidRPr="00EB6A12">
        <w:rPr>
          <w:color w:val="auto"/>
        </w:rPr>
        <w:t>for</w:t>
      </w:r>
      <w:r w:rsidR="00506104" w:rsidRPr="00EB6A12">
        <w:rPr>
          <w:color w:val="auto"/>
        </w:rPr>
        <w:t xml:space="preserve"> </w:t>
      </w:r>
      <w:r w:rsidR="00DE4E97">
        <w:rPr>
          <w:color w:val="auto"/>
        </w:rPr>
        <w:t xml:space="preserve">the </w:t>
      </w:r>
      <w:r w:rsidR="00D42B5D" w:rsidRPr="00EB6A12">
        <w:rPr>
          <w:color w:val="auto"/>
        </w:rPr>
        <w:t xml:space="preserve">HIF </w:t>
      </w:r>
      <w:r w:rsidR="00DE4E97">
        <w:rPr>
          <w:color w:val="auto"/>
        </w:rPr>
        <w:t>funding</w:t>
      </w:r>
      <w:r w:rsidR="00956F06" w:rsidRPr="00956F06">
        <w:t xml:space="preserve"> </w:t>
      </w:r>
      <w:r w:rsidR="00956F06" w:rsidRPr="00956F06">
        <w:rPr>
          <w:color w:val="auto"/>
        </w:rPr>
        <w:t>in the sum of approximately £6.25</w:t>
      </w:r>
      <w:r w:rsidR="00E610D6">
        <w:rPr>
          <w:color w:val="auto"/>
        </w:rPr>
        <w:t>0</w:t>
      </w:r>
      <w:r w:rsidR="00956F06" w:rsidRPr="00956F06">
        <w:rPr>
          <w:color w:val="auto"/>
        </w:rPr>
        <w:t xml:space="preserve"> million</w:t>
      </w:r>
      <w:r w:rsidR="00956F06">
        <w:rPr>
          <w:color w:val="auto"/>
        </w:rPr>
        <w:t xml:space="preserve"> and </w:t>
      </w:r>
      <w:r w:rsidR="00DE4E97">
        <w:rPr>
          <w:color w:val="auto"/>
        </w:rPr>
        <w:t xml:space="preserve">with the </w:t>
      </w:r>
      <w:r w:rsidR="00506104" w:rsidRPr="00EB6A12">
        <w:rPr>
          <w:color w:val="auto"/>
        </w:rPr>
        <w:t>deadline for expenditure extended to March 2023</w:t>
      </w:r>
      <w:r w:rsidR="00A73098">
        <w:rPr>
          <w:color w:val="auto"/>
        </w:rPr>
        <w:t>. This will be paid to CHL at the start of the scheme to reduce the deficit. Early payment will have the benefit of reducing CHL finance costs and this is shown in the table</w:t>
      </w:r>
      <w:r w:rsidR="00956F06">
        <w:rPr>
          <w:color w:val="auto"/>
        </w:rPr>
        <w:t xml:space="preserve"> </w:t>
      </w:r>
      <w:r w:rsidR="007415EE">
        <w:rPr>
          <w:color w:val="auto"/>
        </w:rPr>
        <w:t>below</w:t>
      </w:r>
      <w:r w:rsidR="00956F06">
        <w:rPr>
          <w:color w:val="auto"/>
        </w:rPr>
        <w:t>.</w:t>
      </w:r>
    </w:p>
    <w:p w14:paraId="14C70471" w14:textId="606D1B01" w:rsidR="00D42B5D" w:rsidRDefault="00417ECA" w:rsidP="005C0EDF">
      <w:pPr>
        <w:pStyle w:val="ListParagraph"/>
        <w:numPr>
          <w:ilvl w:val="0"/>
          <w:numId w:val="9"/>
        </w:numPr>
        <w:tabs>
          <w:tab w:val="clear" w:pos="426"/>
          <w:tab w:val="left" w:pos="567"/>
        </w:tabs>
        <w:ind w:left="567" w:right="367" w:hanging="425"/>
        <w:jc w:val="both"/>
        <w:rPr>
          <w:color w:val="auto"/>
        </w:rPr>
      </w:pPr>
      <w:r w:rsidRPr="00956F06">
        <w:rPr>
          <w:b/>
          <w:color w:val="auto"/>
        </w:rPr>
        <w:t>HRA contribution</w:t>
      </w:r>
      <w:r>
        <w:rPr>
          <w:color w:val="auto"/>
        </w:rPr>
        <w:t xml:space="preserve"> - </w:t>
      </w:r>
      <w:r w:rsidR="00452A78">
        <w:rPr>
          <w:color w:val="auto"/>
        </w:rPr>
        <w:t>Improvements</w:t>
      </w:r>
      <w:r w:rsidR="00A425B7">
        <w:rPr>
          <w:color w:val="auto"/>
        </w:rPr>
        <w:t xml:space="preserve"> to the viability have reduced </w:t>
      </w:r>
      <w:r w:rsidR="00C0667D">
        <w:rPr>
          <w:color w:val="auto"/>
        </w:rPr>
        <w:t xml:space="preserve">the </w:t>
      </w:r>
      <w:r w:rsidR="00C0667D" w:rsidRPr="00EB6A12">
        <w:rPr>
          <w:color w:val="auto"/>
        </w:rPr>
        <w:t>demand</w:t>
      </w:r>
      <w:r w:rsidR="000D1F49" w:rsidRPr="00EB6A12">
        <w:rPr>
          <w:color w:val="auto"/>
        </w:rPr>
        <w:t xml:space="preserve"> on HRA from the level agreed at the CEB </w:t>
      </w:r>
      <w:r w:rsidR="00A425B7">
        <w:rPr>
          <w:color w:val="auto"/>
        </w:rPr>
        <w:t xml:space="preserve">approval </w:t>
      </w:r>
      <w:r w:rsidR="000D1F49" w:rsidRPr="00EB6A12">
        <w:rPr>
          <w:color w:val="auto"/>
        </w:rPr>
        <w:t>in September 2018</w:t>
      </w:r>
      <w:r w:rsidR="00DE4E97">
        <w:rPr>
          <w:color w:val="auto"/>
        </w:rPr>
        <w:t xml:space="preserve">. </w:t>
      </w:r>
      <w:r w:rsidR="00452A78">
        <w:rPr>
          <w:color w:val="auto"/>
        </w:rPr>
        <w:t>This also reflec</w:t>
      </w:r>
      <w:r w:rsidR="00C713E7">
        <w:rPr>
          <w:color w:val="auto"/>
        </w:rPr>
        <w:t>ts</w:t>
      </w:r>
      <w:r w:rsidR="00386ABF">
        <w:rPr>
          <w:color w:val="auto"/>
        </w:rPr>
        <w:t xml:space="preserve"> </w:t>
      </w:r>
      <w:r w:rsidR="00452A78">
        <w:rPr>
          <w:color w:val="auto"/>
        </w:rPr>
        <w:t>a reduction in the number of new homes proposed</w:t>
      </w:r>
      <w:r>
        <w:rPr>
          <w:color w:val="auto"/>
        </w:rPr>
        <w:t xml:space="preserve"> as being returned to the Council</w:t>
      </w:r>
      <w:r w:rsidR="005F6670">
        <w:rPr>
          <w:color w:val="auto"/>
        </w:rPr>
        <w:t>.</w:t>
      </w:r>
      <w:r w:rsidR="00A15A5B">
        <w:rPr>
          <w:color w:val="auto"/>
        </w:rPr>
        <w:t xml:space="preserve"> As well as a revitalised area the scheme will also allow nomination rights for tenants on the Council</w:t>
      </w:r>
      <w:r w:rsidR="00610FFC">
        <w:rPr>
          <w:color w:val="auto"/>
        </w:rPr>
        <w:t>’</w:t>
      </w:r>
      <w:r w:rsidR="00A15A5B">
        <w:rPr>
          <w:color w:val="auto"/>
        </w:rPr>
        <w:t xml:space="preserve">s waiting list. </w:t>
      </w:r>
      <w:r>
        <w:rPr>
          <w:color w:val="auto"/>
        </w:rPr>
        <w:t xml:space="preserve">The allocation of £4 million will be paid in the form of the payment of direct costs and a capital contribution to CHL of approximately £1.1 million. </w:t>
      </w:r>
    </w:p>
    <w:p w14:paraId="3202231E" w14:textId="53BEDE26" w:rsidR="008547AB" w:rsidRDefault="008547AB" w:rsidP="005C0EDF">
      <w:pPr>
        <w:pStyle w:val="ListParagraph"/>
        <w:numPr>
          <w:ilvl w:val="0"/>
          <w:numId w:val="9"/>
        </w:numPr>
        <w:tabs>
          <w:tab w:val="clear" w:pos="426"/>
          <w:tab w:val="left" w:pos="567"/>
        </w:tabs>
        <w:ind w:left="567" w:right="367" w:hanging="425"/>
        <w:jc w:val="both"/>
        <w:rPr>
          <w:color w:val="auto"/>
        </w:rPr>
      </w:pPr>
      <w:r w:rsidRPr="00A73098">
        <w:rPr>
          <w:b/>
          <w:color w:val="auto"/>
        </w:rPr>
        <w:t xml:space="preserve">Section </w:t>
      </w:r>
      <w:r w:rsidR="00E04D19" w:rsidRPr="00A73098">
        <w:rPr>
          <w:b/>
          <w:color w:val="auto"/>
        </w:rPr>
        <w:t>106</w:t>
      </w:r>
      <w:r w:rsidR="00267885" w:rsidRPr="00A73098">
        <w:rPr>
          <w:b/>
          <w:color w:val="auto"/>
        </w:rPr>
        <w:t xml:space="preserve"> affordable housing receipts</w:t>
      </w:r>
      <w:r w:rsidR="00267885">
        <w:rPr>
          <w:color w:val="auto"/>
        </w:rPr>
        <w:t>- the Council</w:t>
      </w:r>
      <w:r w:rsidR="00A73098">
        <w:rPr>
          <w:color w:val="auto"/>
        </w:rPr>
        <w:t xml:space="preserve"> </w:t>
      </w:r>
      <w:r w:rsidR="00267885">
        <w:rPr>
          <w:color w:val="auto"/>
        </w:rPr>
        <w:t xml:space="preserve">has an amount of approximately £7.6 million of Section 106 affordable housing receipts available which could be used on this scheme. This would be paid in the form of a capital </w:t>
      </w:r>
      <w:r w:rsidR="00417ECA">
        <w:rPr>
          <w:color w:val="auto"/>
        </w:rPr>
        <w:t>contribution</w:t>
      </w:r>
      <w:r w:rsidR="00267885">
        <w:rPr>
          <w:color w:val="auto"/>
        </w:rPr>
        <w:t xml:space="preserve"> to CHL</w:t>
      </w:r>
      <w:r w:rsidR="00417ECA">
        <w:rPr>
          <w:color w:val="auto"/>
        </w:rPr>
        <w:t xml:space="preserve"> </w:t>
      </w:r>
    </w:p>
    <w:p w14:paraId="1709F4FE" w14:textId="1BACC88C" w:rsidR="008547AB" w:rsidRDefault="008547AB" w:rsidP="005C0EDF">
      <w:pPr>
        <w:pStyle w:val="ListParagraph"/>
        <w:numPr>
          <w:ilvl w:val="0"/>
          <w:numId w:val="9"/>
        </w:numPr>
        <w:tabs>
          <w:tab w:val="clear" w:pos="426"/>
          <w:tab w:val="left" w:pos="567"/>
        </w:tabs>
        <w:ind w:left="567" w:right="367" w:hanging="425"/>
        <w:jc w:val="both"/>
        <w:rPr>
          <w:color w:val="auto"/>
        </w:rPr>
      </w:pPr>
      <w:r w:rsidRPr="00956F06">
        <w:rPr>
          <w:b/>
          <w:color w:val="auto"/>
        </w:rPr>
        <w:t>Community Infrastructure Levy</w:t>
      </w:r>
      <w:r w:rsidR="00956F06">
        <w:rPr>
          <w:color w:val="auto"/>
        </w:rPr>
        <w:t xml:space="preserve"> </w:t>
      </w:r>
      <w:r w:rsidR="00417ECA">
        <w:rPr>
          <w:color w:val="auto"/>
        </w:rPr>
        <w:t xml:space="preserve">- The Council has available funds received from CIL payments </w:t>
      </w:r>
      <w:r w:rsidR="00DF780D">
        <w:rPr>
          <w:color w:val="auto"/>
        </w:rPr>
        <w:t xml:space="preserve">in addition to those generated by the scheme and </w:t>
      </w:r>
      <w:r w:rsidR="00417ECA">
        <w:rPr>
          <w:color w:val="auto"/>
        </w:rPr>
        <w:t>that could be used on funding this scheme. The assumption is that £1.</w:t>
      </w:r>
      <w:r w:rsidR="00E610D6">
        <w:rPr>
          <w:color w:val="auto"/>
        </w:rPr>
        <w:t>422</w:t>
      </w:r>
      <w:r w:rsidR="00417ECA">
        <w:rPr>
          <w:color w:val="auto"/>
        </w:rPr>
        <w:t xml:space="preserve"> million wil</w:t>
      </w:r>
      <w:r w:rsidR="00C94DCF">
        <w:rPr>
          <w:color w:val="auto"/>
        </w:rPr>
        <w:t>l</w:t>
      </w:r>
      <w:r w:rsidR="00417ECA">
        <w:rPr>
          <w:color w:val="auto"/>
        </w:rPr>
        <w:t xml:space="preserve"> be used for this purpose in the form of a capital contribution to CHL.</w:t>
      </w:r>
    </w:p>
    <w:p w14:paraId="5EB3CBC2" w14:textId="77777777" w:rsidR="00D44EFC" w:rsidRDefault="00D44EFC" w:rsidP="00D44EFC">
      <w:pPr>
        <w:tabs>
          <w:tab w:val="left" w:pos="567"/>
        </w:tabs>
        <w:ind w:right="367"/>
        <w:jc w:val="both"/>
        <w:rPr>
          <w:color w:val="auto"/>
        </w:rPr>
      </w:pPr>
    </w:p>
    <w:p w14:paraId="5238420A" w14:textId="77777777" w:rsidR="00D44EFC" w:rsidRDefault="00D44EFC" w:rsidP="00D44EFC">
      <w:pPr>
        <w:tabs>
          <w:tab w:val="left" w:pos="567"/>
        </w:tabs>
        <w:ind w:right="367"/>
        <w:jc w:val="both"/>
        <w:rPr>
          <w:color w:val="auto"/>
        </w:rPr>
      </w:pPr>
    </w:p>
    <w:p w14:paraId="534A6049" w14:textId="77777777" w:rsidR="00D44EFC" w:rsidRDefault="00D44EFC" w:rsidP="00D44EFC">
      <w:pPr>
        <w:tabs>
          <w:tab w:val="left" w:pos="567"/>
        </w:tabs>
        <w:ind w:right="367"/>
        <w:jc w:val="both"/>
        <w:rPr>
          <w:color w:val="auto"/>
        </w:rPr>
      </w:pPr>
    </w:p>
    <w:p w14:paraId="675CA483" w14:textId="77777777" w:rsidR="00D44EFC" w:rsidRPr="00D44EFC" w:rsidRDefault="00D44EFC" w:rsidP="00D44EFC">
      <w:pPr>
        <w:tabs>
          <w:tab w:val="left" w:pos="567"/>
        </w:tabs>
        <w:ind w:right="367"/>
        <w:jc w:val="both"/>
        <w:rPr>
          <w:color w:val="auto"/>
        </w:rPr>
      </w:pPr>
    </w:p>
    <w:p w14:paraId="35F4F554" w14:textId="77777777" w:rsidR="00F86334" w:rsidRPr="00956F06" w:rsidRDefault="00F86334" w:rsidP="00F86334">
      <w:pPr>
        <w:pStyle w:val="ListParagraph"/>
        <w:numPr>
          <w:ilvl w:val="0"/>
          <w:numId w:val="9"/>
        </w:numPr>
        <w:tabs>
          <w:tab w:val="clear" w:pos="426"/>
          <w:tab w:val="left" w:pos="567"/>
          <w:tab w:val="left" w:pos="1844"/>
        </w:tabs>
        <w:ind w:left="567" w:right="367" w:hanging="425"/>
        <w:jc w:val="both"/>
        <w:rPr>
          <w:color w:val="auto"/>
        </w:rPr>
      </w:pPr>
      <w:r>
        <w:lastRenderedPageBreak/>
        <w:t>A summary of the Financial Model</w:t>
      </w:r>
      <w:r>
        <w:rPr>
          <w:rFonts w:cs="Arial"/>
          <w:color w:val="auto"/>
        </w:rPr>
        <w:t xml:space="preserve"> for approval is set out </w:t>
      </w:r>
      <w:r w:rsidRPr="003019BE">
        <w:rPr>
          <w:rFonts w:cs="Arial"/>
          <w:color w:val="auto"/>
        </w:rPr>
        <w:t>below:</w:t>
      </w:r>
    </w:p>
    <w:tbl>
      <w:tblPr>
        <w:tblW w:w="8930" w:type="dxa"/>
        <w:tblInd w:w="137" w:type="dxa"/>
        <w:tblLook w:val="04A0" w:firstRow="1" w:lastRow="0" w:firstColumn="1" w:lastColumn="0" w:noHBand="0" w:noVBand="1"/>
      </w:tblPr>
      <w:tblGrid>
        <w:gridCol w:w="3827"/>
        <w:gridCol w:w="1985"/>
        <w:gridCol w:w="1559"/>
        <w:gridCol w:w="1559"/>
      </w:tblGrid>
      <w:tr w:rsidR="00E610D6" w:rsidRPr="00E610D6" w14:paraId="07C4AA55" w14:textId="77777777" w:rsidTr="00E610D6">
        <w:trPr>
          <w:trHeight w:val="310"/>
        </w:trPr>
        <w:tc>
          <w:tcPr>
            <w:tcW w:w="3827"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CFE5609"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 xml:space="preserve">Catalyst Viability Summary </w:t>
            </w:r>
          </w:p>
        </w:tc>
        <w:tc>
          <w:tcPr>
            <w:tcW w:w="1985" w:type="dxa"/>
            <w:tcBorders>
              <w:top w:val="single" w:sz="4" w:space="0" w:color="auto"/>
              <w:left w:val="nil"/>
              <w:bottom w:val="single" w:sz="4" w:space="0" w:color="auto"/>
              <w:right w:val="single" w:sz="4" w:space="0" w:color="auto"/>
            </w:tcBorders>
            <w:shd w:val="clear" w:color="000000" w:fill="D9D9D9"/>
            <w:noWrap/>
            <w:vAlign w:val="bottom"/>
            <w:hideMark/>
          </w:tcPr>
          <w:p w14:paraId="2437863E" w14:textId="77777777" w:rsidR="00E610D6" w:rsidRPr="00E610D6" w:rsidRDefault="00E610D6" w:rsidP="00E610D6">
            <w:pPr>
              <w:spacing w:after="0"/>
              <w:jc w:val="center"/>
              <w:rPr>
                <w:rFonts w:cs="Arial"/>
                <w:b/>
                <w:bCs/>
                <w:color w:val="auto"/>
                <w:sz w:val="22"/>
                <w:szCs w:val="22"/>
              </w:rPr>
            </w:pPr>
            <w:r w:rsidRPr="00E610D6">
              <w:rPr>
                <w:rFonts w:cs="Arial"/>
                <w:b/>
                <w:bCs/>
                <w:color w:val="auto"/>
                <w:sz w:val="22"/>
                <w:szCs w:val="22"/>
              </w:rPr>
              <w:t>Phase 1</w:t>
            </w:r>
          </w:p>
        </w:tc>
        <w:tc>
          <w:tcPr>
            <w:tcW w:w="1559" w:type="dxa"/>
            <w:tcBorders>
              <w:top w:val="single" w:sz="4" w:space="0" w:color="auto"/>
              <w:left w:val="nil"/>
              <w:bottom w:val="single" w:sz="4" w:space="0" w:color="auto"/>
              <w:right w:val="single" w:sz="4" w:space="0" w:color="auto"/>
            </w:tcBorders>
            <w:shd w:val="clear" w:color="000000" w:fill="D9D9D9"/>
            <w:noWrap/>
            <w:vAlign w:val="bottom"/>
            <w:hideMark/>
          </w:tcPr>
          <w:p w14:paraId="0125AC61" w14:textId="77777777" w:rsidR="00E610D6" w:rsidRPr="00E610D6" w:rsidRDefault="00E610D6" w:rsidP="00E610D6">
            <w:pPr>
              <w:spacing w:after="0"/>
              <w:jc w:val="center"/>
              <w:rPr>
                <w:rFonts w:cs="Arial"/>
                <w:b/>
                <w:bCs/>
                <w:color w:val="auto"/>
                <w:sz w:val="22"/>
                <w:szCs w:val="22"/>
              </w:rPr>
            </w:pPr>
            <w:r w:rsidRPr="00E610D6">
              <w:rPr>
                <w:rFonts w:cs="Arial"/>
                <w:b/>
                <w:bCs/>
                <w:color w:val="auto"/>
                <w:sz w:val="22"/>
                <w:szCs w:val="22"/>
              </w:rPr>
              <w:t>Phase 2</w:t>
            </w:r>
          </w:p>
        </w:tc>
        <w:tc>
          <w:tcPr>
            <w:tcW w:w="1559" w:type="dxa"/>
            <w:tcBorders>
              <w:top w:val="single" w:sz="4" w:space="0" w:color="auto"/>
              <w:left w:val="nil"/>
              <w:bottom w:val="single" w:sz="4" w:space="0" w:color="auto"/>
              <w:right w:val="single" w:sz="4" w:space="0" w:color="auto"/>
            </w:tcBorders>
            <w:shd w:val="clear" w:color="000000" w:fill="D9D9D9"/>
            <w:noWrap/>
            <w:vAlign w:val="bottom"/>
            <w:hideMark/>
          </w:tcPr>
          <w:p w14:paraId="1D52AD07" w14:textId="77777777" w:rsidR="00E610D6" w:rsidRPr="00E610D6" w:rsidRDefault="00E610D6" w:rsidP="00E610D6">
            <w:pPr>
              <w:spacing w:after="0"/>
              <w:jc w:val="center"/>
              <w:rPr>
                <w:rFonts w:cs="Arial"/>
                <w:b/>
                <w:bCs/>
                <w:color w:val="auto"/>
                <w:sz w:val="22"/>
                <w:szCs w:val="22"/>
              </w:rPr>
            </w:pPr>
            <w:r w:rsidRPr="00E610D6">
              <w:rPr>
                <w:rFonts w:cs="Arial"/>
                <w:b/>
                <w:bCs/>
                <w:color w:val="auto"/>
                <w:sz w:val="22"/>
                <w:szCs w:val="22"/>
              </w:rPr>
              <w:t>Total</w:t>
            </w:r>
          </w:p>
        </w:tc>
      </w:tr>
      <w:tr w:rsidR="00E610D6" w:rsidRPr="00E610D6" w14:paraId="02DC3D1A"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1EC7341E" w14:textId="77777777" w:rsidR="00E610D6" w:rsidRPr="00E610D6" w:rsidRDefault="00E610D6" w:rsidP="00E610D6">
            <w:pPr>
              <w:spacing w:after="0"/>
              <w:rPr>
                <w:rFonts w:cs="Arial"/>
                <w:color w:val="auto"/>
                <w:sz w:val="22"/>
                <w:szCs w:val="22"/>
              </w:rPr>
            </w:pPr>
            <w:r w:rsidRPr="00E610D6">
              <w:rPr>
                <w:rFonts w:cs="Arial"/>
                <w:color w:val="auto"/>
                <w:sz w:val="22"/>
                <w:szCs w:val="22"/>
              </w:rPr>
              <w:t>Total Income</w:t>
            </w:r>
          </w:p>
        </w:tc>
        <w:tc>
          <w:tcPr>
            <w:tcW w:w="1985" w:type="dxa"/>
            <w:tcBorders>
              <w:top w:val="nil"/>
              <w:left w:val="nil"/>
              <w:bottom w:val="single" w:sz="4" w:space="0" w:color="auto"/>
              <w:right w:val="single" w:sz="4" w:space="0" w:color="auto"/>
            </w:tcBorders>
            <w:shd w:val="clear" w:color="auto" w:fill="auto"/>
            <w:noWrap/>
            <w:vAlign w:val="bottom"/>
            <w:hideMark/>
          </w:tcPr>
          <w:p w14:paraId="5B272BB1"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£53,213,190</w:t>
            </w:r>
          </w:p>
        </w:tc>
        <w:tc>
          <w:tcPr>
            <w:tcW w:w="1559" w:type="dxa"/>
            <w:tcBorders>
              <w:top w:val="nil"/>
              <w:left w:val="nil"/>
              <w:bottom w:val="single" w:sz="4" w:space="0" w:color="auto"/>
              <w:right w:val="single" w:sz="4" w:space="0" w:color="auto"/>
            </w:tcBorders>
            <w:shd w:val="clear" w:color="auto" w:fill="auto"/>
            <w:noWrap/>
            <w:vAlign w:val="bottom"/>
            <w:hideMark/>
          </w:tcPr>
          <w:p w14:paraId="08C3FDC2"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£24,032,805</w:t>
            </w:r>
          </w:p>
        </w:tc>
        <w:tc>
          <w:tcPr>
            <w:tcW w:w="1559" w:type="dxa"/>
            <w:tcBorders>
              <w:top w:val="nil"/>
              <w:left w:val="nil"/>
              <w:bottom w:val="single" w:sz="4" w:space="0" w:color="auto"/>
              <w:right w:val="single" w:sz="4" w:space="0" w:color="auto"/>
            </w:tcBorders>
            <w:shd w:val="clear" w:color="auto" w:fill="auto"/>
            <w:noWrap/>
            <w:vAlign w:val="bottom"/>
            <w:hideMark/>
          </w:tcPr>
          <w:p w14:paraId="61EAAC2E"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£77,245,995</w:t>
            </w:r>
          </w:p>
        </w:tc>
      </w:tr>
      <w:tr w:rsidR="00E610D6" w:rsidRPr="00E610D6" w14:paraId="331994CB"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5620C07F" w14:textId="77777777" w:rsidR="00E610D6" w:rsidRPr="00E610D6" w:rsidRDefault="00E610D6" w:rsidP="00E610D6">
            <w:pPr>
              <w:spacing w:after="0"/>
              <w:rPr>
                <w:rFonts w:cs="Arial"/>
                <w:color w:val="auto"/>
                <w:sz w:val="22"/>
                <w:szCs w:val="22"/>
              </w:rPr>
            </w:pPr>
            <w:r w:rsidRPr="00E610D6">
              <w:rPr>
                <w:rFonts w:cs="Arial"/>
                <w:color w:val="auto"/>
                <w:sz w:val="22"/>
                <w:szCs w:val="22"/>
              </w:rPr>
              <w:t>Total Costs</w:t>
            </w:r>
          </w:p>
        </w:tc>
        <w:tc>
          <w:tcPr>
            <w:tcW w:w="1985" w:type="dxa"/>
            <w:tcBorders>
              <w:top w:val="nil"/>
              <w:left w:val="nil"/>
              <w:bottom w:val="single" w:sz="4" w:space="0" w:color="auto"/>
              <w:right w:val="single" w:sz="4" w:space="0" w:color="auto"/>
            </w:tcBorders>
            <w:shd w:val="clear" w:color="auto" w:fill="auto"/>
            <w:noWrap/>
            <w:vAlign w:val="bottom"/>
            <w:hideMark/>
          </w:tcPr>
          <w:p w14:paraId="4185AEDE"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-£64,066,930</w:t>
            </w:r>
          </w:p>
        </w:tc>
        <w:tc>
          <w:tcPr>
            <w:tcW w:w="1559" w:type="dxa"/>
            <w:tcBorders>
              <w:top w:val="nil"/>
              <w:left w:val="nil"/>
              <w:bottom w:val="single" w:sz="4" w:space="0" w:color="auto"/>
              <w:right w:val="single" w:sz="4" w:space="0" w:color="auto"/>
            </w:tcBorders>
            <w:shd w:val="clear" w:color="auto" w:fill="auto"/>
            <w:noWrap/>
            <w:vAlign w:val="bottom"/>
            <w:hideMark/>
          </w:tcPr>
          <w:p w14:paraId="40924640"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-£25,857,514</w:t>
            </w:r>
          </w:p>
        </w:tc>
        <w:tc>
          <w:tcPr>
            <w:tcW w:w="1559" w:type="dxa"/>
            <w:tcBorders>
              <w:top w:val="nil"/>
              <w:left w:val="nil"/>
              <w:bottom w:val="single" w:sz="4" w:space="0" w:color="auto"/>
              <w:right w:val="single" w:sz="4" w:space="0" w:color="auto"/>
            </w:tcBorders>
            <w:shd w:val="clear" w:color="auto" w:fill="auto"/>
            <w:noWrap/>
            <w:vAlign w:val="bottom"/>
            <w:hideMark/>
          </w:tcPr>
          <w:p w14:paraId="469DE9A7"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-£89,924,444</w:t>
            </w:r>
          </w:p>
        </w:tc>
      </w:tr>
      <w:tr w:rsidR="00E610D6" w:rsidRPr="00E610D6" w14:paraId="4A27C129"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776E0383"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Baseline Surplus/ Deficit (-</w:t>
            </w:r>
            <w:proofErr w:type="spellStart"/>
            <w:r w:rsidRPr="00E610D6">
              <w:rPr>
                <w:rFonts w:cs="Arial"/>
                <w:b/>
                <w:bCs/>
                <w:color w:val="auto"/>
                <w:sz w:val="22"/>
                <w:szCs w:val="22"/>
              </w:rPr>
              <w:t>ve</w:t>
            </w:r>
            <w:proofErr w:type="spellEnd"/>
            <w:r w:rsidRPr="00E610D6">
              <w:rPr>
                <w:rFonts w:cs="Arial"/>
                <w:b/>
                <w:bCs/>
                <w:color w:val="auto"/>
                <w:sz w:val="22"/>
                <w:szCs w:val="22"/>
              </w:rPr>
              <w:t xml:space="preserve"> value is deficit)</w:t>
            </w:r>
          </w:p>
        </w:tc>
        <w:tc>
          <w:tcPr>
            <w:tcW w:w="1985" w:type="dxa"/>
            <w:tcBorders>
              <w:top w:val="nil"/>
              <w:left w:val="nil"/>
              <w:bottom w:val="single" w:sz="4" w:space="0" w:color="auto"/>
              <w:right w:val="single" w:sz="4" w:space="0" w:color="auto"/>
            </w:tcBorders>
            <w:shd w:val="clear" w:color="auto" w:fill="auto"/>
            <w:noWrap/>
            <w:vAlign w:val="bottom"/>
            <w:hideMark/>
          </w:tcPr>
          <w:p w14:paraId="5289BBA3" w14:textId="77777777" w:rsidR="00E610D6" w:rsidRPr="00E610D6" w:rsidRDefault="00E610D6" w:rsidP="00E610D6">
            <w:pPr>
              <w:spacing w:after="0"/>
              <w:jc w:val="right"/>
              <w:rPr>
                <w:rFonts w:cs="Arial"/>
                <w:b/>
                <w:bCs/>
                <w:color w:val="auto"/>
                <w:sz w:val="22"/>
                <w:szCs w:val="22"/>
              </w:rPr>
            </w:pPr>
            <w:r w:rsidRPr="00E610D6">
              <w:rPr>
                <w:rFonts w:cs="Arial"/>
                <w:b/>
                <w:bCs/>
                <w:color w:val="auto"/>
                <w:sz w:val="22"/>
                <w:szCs w:val="22"/>
              </w:rPr>
              <w:t>-£10,853,740</w:t>
            </w:r>
          </w:p>
        </w:tc>
        <w:tc>
          <w:tcPr>
            <w:tcW w:w="1559" w:type="dxa"/>
            <w:tcBorders>
              <w:top w:val="nil"/>
              <w:left w:val="nil"/>
              <w:bottom w:val="single" w:sz="4" w:space="0" w:color="auto"/>
              <w:right w:val="single" w:sz="4" w:space="0" w:color="auto"/>
            </w:tcBorders>
            <w:shd w:val="clear" w:color="auto" w:fill="auto"/>
            <w:noWrap/>
            <w:vAlign w:val="bottom"/>
            <w:hideMark/>
          </w:tcPr>
          <w:p w14:paraId="08F05095" w14:textId="77777777" w:rsidR="00E610D6" w:rsidRPr="00E610D6" w:rsidRDefault="00E610D6" w:rsidP="00E610D6">
            <w:pPr>
              <w:spacing w:after="0"/>
              <w:jc w:val="right"/>
              <w:rPr>
                <w:rFonts w:cs="Arial"/>
                <w:b/>
                <w:bCs/>
                <w:color w:val="auto"/>
                <w:sz w:val="22"/>
                <w:szCs w:val="22"/>
              </w:rPr>
            </w:pPr>
            <w:r w:rsidRPr="00E610D6">
              <w:rPr>
                <w:rFonts w:cs="Arial"/>
                <w:b/>
                <w:bCs/>
                <w:color w:val="auto"/>
                <w:sz w:val="22"/>
                <w:szCs w:val="22"/>
              </w:rPr>
              <w:t>-£1,824,709</w:t>
            </w:r>
          </w:p>
        </w:tc>
        <w:tc>
          <w:tcPr>
            <w:tcW w:w="1559" w:type="dxa"/>
            <w:tcBorders>
              <w:top w:val="nil"/>
              <w:left w:val="nil"/>
              <w:bottom w:val="single" w:sz="4" w:space="0" w:color="auto"/>
              <w:right w:val="single" w:sz="4" w:space="0" w:color="auto"/>
            </w:tcBorders>
            <w:shd w:val="clear" w:color="auto" w:fill="auto"/>
            <w:noWrap/>
            <w:vAlign w:val="bottom"/>
            <w:hideMark/>
          </w:tcPr>
          <w:p w14:paraId="06501AFB" w14:textId="77777777" w:rsidR="00E610D6" w:rsidRPr="00E610D6" w:rsidRDefault="00E610D6" w:rsidP="00E610D6">
            <w:pPr>
              <w:spacing w:after="0"/>
              <w:jc w:val="right"/>
              <w:rPr>
                <w:rFonts w:cs="Arial"/>
                <w:b/>
                <w:bCs/>
                <w:color w:val="auto"/>
                <w:sz w:val="22"/>
                <w:szCs w:val="22"/>
              </w:rPr>
            </w:pPr>
            <w:r w:rsidRPr="00E610D6">
              <w:rPr>
                <w:rFonts w:cs="Arial"/>
                <w:b/>
                <w:bCs/>
                <w:color w:val="auto"/>
                <w:sz w:val="22"/>
                <w:szCs w:val="22"/>
              </w:rPr>
              <w:t>-£12,678,449</w:t>
            </w:r>
          </w:p>
        </w:tc>
      </w:tr>
      <w:tr w:rsidR="00E610D6" w:rsidRPr="00E610D6" w14:paraId="35467739"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722A21A6" w14:textId="77777777" w:rsidR="00E610D6" w:rsidRPr="00E610D6" w:rsidRDefault="00E610D6" w:rsidP="00E610D6">
            <w:pPr>
              <w:spacing w:after="0"/>
              <w:rPr>
                <w:rFonts w:cs="Arial"/>
                <w:color w:val="auto"/>
                <w:sz w:val="22"/>
                <w:szCs w:val="22"/>
              </w:rPr>
            </w:pPr>
            <w:r w:rsidRPr="00E610D6">
              <w:rPr>
                <w:rFonts w:cs="Arial"/>
                <w:color w:val="auto"/>
                <w:sz w:val="22"/>
                <w:szCs w:val="22"/>
              </w:rPr>
              <w:t>Catalyst other costs</w:t>
            </w:r>
          </w:p>
        </w:tc>
        <w:tc>
          <w:tcPr>
            <w:tcW w:w="1985" w:type="dxa"/>
            <w:tcBorders>
              <w:top w:val="nil"/>
              <w:left w:val="nil"/>
              <w:bottom w:val="single" w:sz="4" w:space="0" w:color="auto"/>
              <w:right w:val="single" w:sz="4" w:space="0" w:color="auto"/>
            </w:tcBorders>
            <w:shd w:val="clear" w:color="auto" w:fill="auto"/>
            <w:noWrap/>
            <w:vAlign w:val="bottom"/>
            <w:hideMark/>
          </w:tcPr>
          <w:p w14:paraId="5559E2C0"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-£2,256,000</w:t>
            </w:r>
          </w:p>
        </w:tc>
        <w:tc>
          <w:tcPr>
            <w:tcW w:w="1559" w:type="dxa"/>
            <w:tcBorders>
              <w:top w:val="nil"/>
              <w:left w:val="nil"/>
              <w:bottom w:val="single" w:sz="4" w:space="0" w:color="auto"/>
              <w:right w:val="single" w:sz="4" w:space="0" w:color="auto"/>
            </w:tcBorders>
            <w:shd w:val="clear" w:color="auto" w:fill="auto"/>
            <w:noWrap/>
            <w:vAlign w:val="bottom"/>
            <w:hideMark/>
          </w:tcPr>
          <w:p w14:paraId="745CCCEB"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£0</w:t>
            </w:r>
          </w:p>
        </w:tc>
        <w:tc>
          <w:tcPr>
            <w:tcW w:w="1559" w:type="dxa"/>
            <w:tcBorders>
              <w:top w:val="nil"/>
              <w:left w:val="nil"/>
              <w:bottom w:val="single" w:sz="4" w:space="0" w:color="auto"/>
              <w:right w:val="single" w:sz="4" w:space="0" w:color="auto"/>
            </w:tcBorders>
            <w:shd w:val="clear" w:color="auto" w:fill="auto"/>
            <w:noWrap/>
            <w:vAlign w:val="bottom"/>
            <w:hideMark/>
          </w:tcPr>
          <w:p w14:paraId="272E462A"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-£2,256,000</w:t>
            </w:r>
          </w:p>
        </w:tc>
      </w:tr>
      <w:tr w:rsidR="00E610D6" w:rsidRPr="00E610D6" w14:paraId="1163AFD9"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6B58A7DC"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 xml:space="preserve">Baseline Surplus/ Deficit </w:t>
            </w:r>
          </w:p>
        </w:tc>
        <w:tc>
          <w:tcPr>
            <w:tcW w:w="1985" w:type="dxa"/>
            <w:tcBorders>
              <w:top w:val="nil"/>
              <w:left w:val="nil"/>
              <w:bottom w:val="single" w:sz="4" w:space="0" w:color="auto"/>
              <w:right w:val="single" w:sz="4" w:space="0" w:color="auto"/>
            </w:tcBorders>
            <w:shd w:val="clear" w:color="auto" w:fill="auto"/>
            <w:noWrap/>
            <w:vAlign w:val="bottom"/>
            <w:hideMark/>
          </w:tcPr>
          <w:p w14:paraId="432CA12D" w14:textId="77777777" w:rsidR="00E610D6" w:rsidRPr="00E610D6" w:rsidRDefault="00E610D6" w:rsidP="00E610D6">
            <w:pPr>
              <w:spacing w:after="0"/>
              <w:jc w:val="right"/>
              <w:rPr>
                <w:rFonts w:cs="Arial"/>
                <w:b/>
                <w:bCs/>
                <w:color w:val="auto"/>
                <w:sz w:val="22"/>
                <w:szCs w:val="22"/>
              </w:rPr>
            </w:pPr>
            <w:r w:rsidRPr="00E610D6">
              <w:rPr>
                <w:rFonts w:cs="Arial"/>
                <w:b/>
                <w:bCs/>
                <w:color w:val="auto"/>
                <w:sz w:val="22"/>
                <w:szCs w:val="22"/>
              </w:rPr>
              <w:t>-£13,109,740</w:t>
            </w:r>
          </w:p>
        </w:tc>
        <w:tc>
          <w:tcPr>
            <w:tcW w:w="1559" w:type="dxa"/>
            <w:tcBorders>
              <w:top w:val="nil"/>
              <w:left w:val="nil"/>
              <w:bottom w:val="single" w:sz="4" w:space="0" w:color="auto"/>
              <w:right w:val="single" w:sz="4" w:space="0" w:color="auto"/>
            </w:tcBorders>
            <w:shd w:val="clear" w:color="auto" w:fill="auto"/>
            <w:noWrap/>
            <w:vAlign w:val="bottom"/>
            <w:hideMark/>
          </w:tcPr>
          <w:p w14:paraId="223017BD" w14:textId="77777777" w:rsidR="00E610D6" w:rsidRPr="00E610D6" w:rsidRDefault="00E610D6" w:rsidP="00E610D6">
            <w:pPr>
              <w:spacing w:after="0"/>
              <w:jc w:val="right"/>
              <w:rPr>
                <w:rFonts w:cs="Arial"/>
                <w:b/>
                <w:bCs/>
                <w:color w:val="auto"/>
                <w:sz w:val="22"/>
                <w:szCs w:val="22"/>
              </w:rPr>
            </w:pPr>
            <w:r w:rsidRPr="00E610D6">
              <w:rPr>
                <w:rFonts w:cs="Arial"/>
                <w:b/>
                <w:bCs/>
                <w:color w:val="auto"/>
                <w:sz w:val="22"/>
                <w:szCs w:val="22"/>
              </w:rPr>
              <w:t>-£1,824,709</w:t>
            </w:r>
          </w:p>
        </w:tc>
        <w:tc>
          <w:tcPr>
            <w:tcW w:w="1559" w:type="dxa"/>
            <w:tcBorders>
              <w:top w:val="nil"/>
              <w:left w:val="nil"/>
              <w:bottom w:val="single" w:sz="4" w:space="0" w:color="auto"/>
              <w:right w:val="single" w:sz="4" w:space="0" w:color="auto"/>
            </w:tcBorders>
            <w:shd w:val="clear" w:color="auto" w:fill="auto"/>
            <w:noWrap/>
            <w:vAlign w:val="bottom"/>
            <w:hideMark/>
          </w:tcPr>
          <w:p w14:paraId="2A0B5FB7" w14:textId="77777777" w:rsidR="00E610D6" w:rsidRPr="00E610D6" w:rsidRDefault="00E610D6" w:rsidP="00E610D6">
            <w:pPr>
              <w:spacing w:after="0"/>
              <w:jc w:val="right"/>
              <w:rPr>
                <w:rFonts w:cs="Arial"/>
                <w:b/>
                <w:bCs/>
                <w:color w:val="auto"/>
                <w:sz w:val="22"/>
                <w:szCs w:val="22"/>
              </w:rPr>
            </w:pPr>
            <w:r w:rsidRPr="00E610D6">
              <w:rPr>
                <w:rFonts w:cs="Arial"/>
                <w:b/>
                <w:bCs/>
                <w:color w:val="auto"/>
                <w:sz w:val="22"/>
                <w:szCs w:val="22"/>
              </w:rPr>
              <w:t>-£14,934,449</w:t>
            </w:r>
          </w:p>
        </w:tc>
      </w:tr>
      <w:tr w:rsidR="00E610D6" w:rsidRPr="00E610D6" w14:paraId="3E80BD3B" w14:textId="77777777" w:rsidTr="00E610D6">
        <w:trPr>
          <w:trHeight w:val="310"/>
        </w:trPr>
        <w:tc>
          <w:tcPr>
            <w:tcW w:w="3827" w:type="dxa"/>
            <w:tcBorders>
              <w:top w:val="nil"/>
              <w:left w:val="single" w:sz="4" w:space="0" w:color="auto"/>
              <w:bottom w:val="single" w:sz="4" w:space="0" w:color="auto"/>
              <w:right w:val="single" w:sz="4" w:space="0" w:color="auto"/>
            </w:tcBorders>
            <w:shd w:val="clear" w:color="000000" w:fill="D9D9D9"/>
            <w:vAlign w:val="bottom"/>
            <w:hideMark/>
          </w:tcPr>
          <w:p w14:paraId="385DCC6F"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OCC Costs:</w:t>
            </w:r>
          </w:p>
        </w:tc>
        <w:tc>
          <w:tcPr>
            <w:tcW w:w="1985" w:type="dxa"/>
            <w:tcBorders>
              <w:top w:val="nil"/>
              <w:left w:val="nil"/>
              <w:bottom w:val="single" w:sz="4" w:space="0" w:color="auto"/>
              <w:right w:val="single" w:sz="4" w:space="0" w:color="auto"/>
            </w:tcBorders>
            <w:shd w:val="clear" w:color="000000" w:fill="D9D9D9"/>
            <w:noWrap/>
            <w:vAlign w:val="bottom"/>
            <w:hideMark/>
          </w:tcPr>
          <w:p w14:paraId="0178856F"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07A3B544"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2E6D9F30"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 </w:t>
            </w:r>
          </w:p>
        </w:tc>
      </w:tr>
      <w:tr w:rsidR="00E610D6" w:rsidRPr="00E610D6" w14:paraId="54AB9767"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6BE858E2" w14:textId="77777777" w:rsidR="00E610D6" w:rsidRPr="00E610D6" w:rsidRDefault="00E610D6" w:rsidP="00E610D6">
            <w:pPr>
              <w:spacing w:after="0"/>
              <w:rPr>
                <w:rFonts w:cs="Arial"/>
                <w:color w:val="auto"/>
                <w:sz w:val="22"/>
                <w:szCs w:val="22"/>
              </w:rPr>
            </w:pPr>
            <w:r w:rsidRPr="00E610D6">
              <w:rPr>
                <w:rFonts w:cs="Arial"/>
                <w:color w:val="auto"/>
                <w:sz w:val="22"/>
                <w:szCs w:val="22"/>
              </w:rPr>
              <w:t>Vacant Possession &amp; Decant</w:t>
            </w:r>
          </w:p>
        </w:tc>
        <w:tc>
          <w:tcPr>
            <w:tcW w:w="1985" w:type="dxa"/>
            <w:tcBorders>
              <w:top w:val="nil"/>
              <w:left w:val="nil"/>
              <w:bottom w:val="single" w:sz="4" w:space="0" w:color="auto"/>
              <w:right w:val="single" w:sz="4" w:space="0" w:color="auto"/>
            </w:tcBorders>
            <w:shd w:val="clear" w:color="auto" w:fill="auto"/>
            <w:noWrap/>
            <w:vAlign w:val="bottom"/>
            <w:hideMark/>
          </w:tcPr>
          <w:p w14:paraId="4BA6D388"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-£2,916,000</w:t>
            </w:r>
          </w:p>
        </w:tc>
        <w:tc>
          <w:tcPr>
            <w:tcW w:w="1559" w:type="dxa"/>
            <w:tcBorders>
              <w:top w:val="nil"/>
              <w:left w:val="nil"/>
              <w:bottom w:val="single" w:sz="4" w:space="0" w:color="auto"/>
              <w:right w:val="single" w:sz="4" w:space="0" w:color="auto"/>
            </w:tcBorders>
            <w:shd w:val="clear" w:color="auto" w:fill="auto"/>
            <w:noWrap/>
            <w:vAlign w:val="bottom"/>
            <w:hideMark/>
          </w:tcPr>
          <w:p w14:paraId="5A0DE4F1"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-£2,100,000</w:t>
            </w:r>
          </w:p>
        </w:tc>
        <w:tc>
          <w:tcPr>
            <w:tcW w:w="1559" w:type="dxa"/>
            <w:tcBorders>
              <w:top w:val="nil"/>
              <w:left w:val="nil"/>
              <w:bottom w:val="single" w:sz="4" w:space="0" w:color="auto"/>
              <w:right w:val="single" w:sz="4" w:space="0" w:color="auto"/>
            </w:tcBorders>
            <w:shd w:val="clear" w:color="auto" w:fill="auto"/>
            <w:noWrap/>
            <w:vAlign w:val="bottom"/>
            <w:hideMark/>
          </w:tcPr>
          <w:p w14:paraId="6214D7E7"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-£5,016,000</w:t>
            </w:r>
          </w:p>
        </w:tc>
      </w:tr>
      <w:tr w:rsidR="00E610D6" w:rsidRPr="00E610D6" w14:paraId="4A9F3E8C"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55DC2621" w14:textId="77777777" w:rsidR="00E610D6" w:rsidRPr="00E610D6" w:rsidRDefault="00E610D6" w:rsidP="00E610D6">
            <w:pPr>
              <w:spacing w:after="0"/>
              <w:rPr>
                <w:rFonts w:cs="Arial"/>
                <w:color w:val="auto"/>
                <w:sz w:val="22"/>
                <w:szCs w:val="22"/>
              </w:rPr>
            </w:pPr>
            <w:r w:rsidRPr="00E610D6">
              <w:rPr>
                <w:rFonts w:cs="Arial"/>
                <w:color w:val="auto"/>
                <w:sz w:val="22"/>
                <w:szCs w:val="22"/>
              </w:rPr>
              <w:t>Project Delivery Costs</w:t>
            </w:r>
          </w:p>
        </w:tc>
        <w:tc>
          <w:tcPr>
            <w:tcW w:w="1985" w:type="dxa"/>
            <w:tcBorders>
              <w:top w:val="nil"/>
              <w:left w:val="nil"/>
              <w:bottom w:val="single" w:sz="4" w:space="0" w:color="auto"/>
              <w:right w:val="single" w:sz="4" w:space="0" w:color="auto"/>
            </w:tcBorders>
            <w:shd w:val="clear" w:color="auto" w:fill="auto"/>
            <w:noWrap/>
            <w:vAlign w:val="bottom"/>
            <w:hideMark/>
          </w:tcPr>
          <w:p w14:paraId="79AFA669"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-£1,041,528</w:t>
            </w:r>
          </w:p>
        </w:tc>
        <w:tc>
          <w:tcPr>
            <w:tcW w:w="1559" w:type="dxa"/>
            <w:tcBorders>
              <w:top w:val="nil"/>
              <w:left w:val="nil"/>
              <w:bottom w:val="single" w:sz="4" w:space="0" w:color="auto"/>
              <w:right w:val="single" w:sz="4" w:space="0" w:color="auto"/>
            </w:tcBorders>
            <w:shd w:val="clear" w:color="auto" w:fill="auto"/>
            <w:noWrap/>
            <w:vAlign w:val="bottom"/>
            <w:hideMark/>
          </w:tcPr>
          <w:p w14:paraId="629015F5"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-£483,630</w:t>
            </w:r>
          </w:p>
        </w:tc>
        <w:tc>
          <w:tcPr>
            <w:tcW w:w="1559" w:type="dxa"/>
            <w:tcBorders>
              <w:top w:val="nil"/>
              <w:left w:val="nil"/>
              <w:bottom w:val="single" w:sz="4" w:space="0" w:color="auto"/>
              <w:right w:val="single" w:sz="4" w:space="0" w:color="auto"/>
            </w:tcBorders>
            <w:shd w:val="clear" w:color="auto" w:fill="auto"/>
            <w:noWrap/>
            <w:vAlign w:val="bottom"/>
            <w:hideMark/>
          </w:tcPr>
          <w:p w14:paraId="4CA7561C"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-£1,525,158</w:t>
            </w:r>
          </w:p>
        </w:tc>
      </w:tr>
      <w:tr w:rsidR="00E610D6" w:rsidRPr="00E610D6" w14:paraId="3919B119"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5A2F5A8C" w14:textId="77777777" w:rsidR="00E610D6" w:rsidRPr="00E610D6" w:rsidRDefault="00E610D6" w:rsidP="00E610D6">
            <w:pPr>
              <w:spacing w:after="0"/>
              <w:rPr>
                <w:rFonts w:cs="Arial"/>
                <w:color w:val="auto"/>
                <w:sz w:val="22"/>
                <w:szCs w:val="22"/>
              </w:rPr>
            </w:pPr>
            <w:r w:rsidRPr="00E610D6">
              <w:rPr>
                <w:rFonts w:cs="Arial"/>
                <w:color w:val="auto"/>
                <w:sz w:val="22"/>
                <w:szCs w:val="22"/>
              </w:rPr>
              <w:t>Contingency</w:t>
            </w:r>
          </w:p>
        </w:tc>
        <w:tc>
          <w:tcPr>
            <w:tcW w:w="1985" w:type="dxa"/>
            <w:tcBorders>
              <w:top w:val="nil"/>
              <w:left w:val="nil"/>
              <w:bottom w:val="single" w:sz="4" w:space="0" w:color="auto"/>
              <w:right w:val="single" w:sz="4" w:space="0" w:color="auto"/>
            </w:tcBorders>
            <w:shd w:val="clear" w:color="auto" w:fill="auto"/>
            <w:noWrap/>
            <w:vAlign w:val="bottom"/>
            <w:hideMark/>
          </w:tcPr>
          <w:p w14:paraId="65B196F5"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-£1,458,576</w:t>
            </w:r>
          </w:p>
        </w:tc>
        <w:tc>
          <w:tcPr>
            <w:tcW w:w="1559" w:type="dxa"/>
            <w:tcBorders>
              <w:top w:val="nil"/>
              <w:left w:val="nil"/>
              <w:bottom w:val="single" w:sz="4" w:space="0" w:color="auto"/>
              <w:right w:val="single" w:sz="4" w:space="0" w:color="auto"/>
            </w:tcBorders>
            <w:shd w:val="clear" w:color="auto" w:fill="auto"/>
            <w:noWrap/>
            <w:vAlign w:val="bottom"/>
            <w:hideMark/>
          </w:tcPr>
          <w:p w14:paraId="68F916A2"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-£440,834</w:t>
            </w:r>
          </w:p>
        </w:tc>
        <w:tc>
          <w:tcPr>
            <w:tcW w:w="1559" w:type="dxa"/>
            <w:tcBorders>
              <w:top w:val="nil"/>
              <w:left w:val="nil"/>
              <w:bottom w:val="single" w:sz="4" w:space="0" w:color="auto"/>
              <w:right w:val="single" w:sz="4" w:space="0" w:color="auto"/>
            </w:tcBorders>
            <w:shd w:val="clear" w:color="auto" w:fill="auto"/>
            <w:noWrap/>
            <w:vAlign w:val="bottom"/>
            <w:hideMark/>
          </w:tcPr>
          <w:p w14:paraId="36E638B1"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-£1,899,409</w:t>
            </w:r>
          </w:p>
        </w:tc>
      </w:tr>
      <w:tr w:rsidR="00E610D6" w:rsidRPr="00E610D6" w14:paraId="54514D20"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29ABDAE9"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 xml:space="preserve">Baseline Surplus/ Deficit </w:t>
            </w:r>
            <w:proofErr w:type="spellStart"/>
            <w:r w:rsidRPr="00E610D6">
              <w:rPr>
                <w:rFonts w:cs="Arial"/>
                <w:b/>
                <w:bCs/>
                <w:color w:val="auto"/>
                <w:sz w:val="22"/>
                <w:szCs w:val="22"/>
              </w:rPr>
              <w:t>incl</w:t>
            </w:r>
            <w:proofErr w:type="spellEnd"/>
            <w:r w:rsidRPr="00E610D6">
              <w:rPr>
                <w:rFonts w:cs="Arial"/>
                <w:b/>
                <w:bCs/>
                <w:color w:val="auto"/>
                <w:sz w:val="22"/>
                <w:szCs w:val="22"/>
              </w:rPr>
              <w:t>' OCC Costs</w:t>
            </w:r>
          </w:p>
        </w:tc>
        <w:tc>
          <w:tcPr>
            <w:tcW w:w="1985" w:type="dxa"/>
            <w:tcBorders>
              <w:top w:val="nil"/>
              <w:left w:val="nil"/>
              <w:bottom w:val="single" w:sz="4" w:space="0" w:color="auto"/>
              <w:right w:val="single" w:sz="4" w:space="0" w:color="auto"/>
            </w:tcBorders>
            <w:shd w:val="clear" w:color="auto" w:fill="auto"/>
            <w:noWrap/>
            <w:vAlign w:val="bottom"/>
            <w:hideMark/>
          </w:tcPr>
          <w:p w14:paraId="40F9D36B" w14:textId="77777777" w:rsidR="00E610D6" w:rsidRPr="00E610D6" w:rsidRDefault="00E610D6" w:rsidP="00E610D6">
            <w:pPr>
              <w:spacing w:after="0"/>
              <w:jc w:val="right"/>
              <w:rPr>
                <w:rFonts w:cs="Arial"/>
                <w:b/>
                <w:bCs/>
                <w:color w:val="auto"/>
                <w:sz w:val="22"/>
                <w:szCs w:val="22"/>
              </w:rPr>
            </w:pPr>
            <w:r w:rsidRPr="00E610D6">
              <w:rPr>
                <w:rFonts w:cs="Arial"/>
                <w:b/>
                <w:bCs/>
                <w:color w:val="auto"/>
                <w:sz w:val="22"/>
                <w:szCs w:val="22"/>
              </w:rPr>
              <w:t>-£18,525,844</w:t>
            </w:r>
          </w:p>
        </w:tc>
        <w:tc>
          <w:tcPr>
            <w:tcW w:w="1559" w:type="dxa"/>
            <w:tcBorders>
              <w:top w:val="nil"/>
              <w:left w:val="nil"/>
              <w:bottom w:val="single" w:sz="4" w:space="0" w:color="auto"/>
              <w:right w:val="single" w:sz="4" w:space="0" w:color="auto"/>
            </w:tcBorders>
            <w:shd w:val="clear" w:color="auto" w:fill="auto"/>
            <w:noWrap/>
            <w:vAlign w:val="bottom"/>
            <w:hideMark/>
          </w:tcPr>
          <w:p w14:paraId="4B30813E" w14:textId="77777777" w:rsidR="00E610D6" w:rsidRPr="00E610D6" w:rsidRDefault="00E610D6" w:rsidP="00E610D6">
            <w:pPr>
              <w:spacing w:after="0"/>
              <w:jc w:val="right"/>
              <w:rPr>
                <w:rFonts w:cs="Arial"/>
                <w:b/>
                <w:bCs/>
                <w:color w:val="auto"/>
                <w:sz w:val="22"/>
                <w:szCs w:val="22"/>
              </w:rPr>
            </w:pPr>
            <w:r w:rsidRPr="00E610D6">
              <w:rPr>
                <w:rFonts w:cs="Arial"/>
                <w:b/>
                <w:bCs/>
                <w:color w:val="auto"/>
                <w:sz w:val="22"/>
                <w:szCs w:val="22"/>
              </w:rPr>
              <w:t>-£4,849,173</w:t>
            </w:r>
          </w:p>
        </w:tc>
        <w:tc>
          <w:tcPr>
            <w:tcW w:w="1559" w:type="dxa"/>
            <w:tcBorders>
              <w:top w:val="nil"/>
              <w:left w:val="nil"/>
              <w:bottom w:val="single" w:sz="4" w:space="0" w:color="auto"/>
              <w:right w:val="single" w:sz="4" w:space="0" w:color="auto"/>
            </w:tcBorders>
            <w:shd w:val="clear" w:color="auto" w:fill="auto"/>
            <w:noWrap/>
            <w:vAlign w:val="bottom"/>
            <w:hideMark/>
          </w:tcPr>
          <w:p w14:paraId="1EDB0B68" w14:textId="77777777" w:rsidR="00E610D6" w:rsidRPr="00E610D6" w:rsidRDefault="00E610D6" w:rsidP="00E610D6">
            <w:pPr>
              <w:spacing w:after="0"/>
              <w:jc w:val="right"/>
              <w:rPr>
                <w:rFonts w:cs="Arial"/>
                <w:b/>
                <w:bCs/>
                <w:color w:val="auto"/>
                <w:sz w:val="22"/>
                <w:szCs w:val="22"/>
              </w:rPr>
            </w:pPr>
            <w:r w:rsidRPr="00E610D6">
              <w:rPr>
                <w:rFonts w:cs="Arial"/>
                <w:b/>
                <w:bCs/>
                <w:color w:val="auto"/>
                <w:sz w:val="22"/>
                <w:szCs w:val="22"/>
              </w:rPr>
              <w:t>-£23,375,016</w:t>
            </w:r>
          </w:p>
        </w:tc>
      </w:tr>
      <w:tr w:rsidR="00E610D6" w:rsidRPr="00E610D6" w14:paraId="5E7F4F06" w14:textId="77777777" w:rsidTr="00E610D6">
        <w:trPr>
          <w:trHeight w:val="310"/>
        </w:trPr>
        <w:tc>
          <w:tcPr>
            <w:tcW w:w="3827" w:type="dxa"/>
            <w:tcBorders>
              <w:top w:val="nil"/>
              <w:left w:val="single" w:sz="4" w:space="0" w:color="auto"/>
              <w:bottom w:val="single" w:sz="4" w:space="0" w:color="auto"/>
              <w:right w:val="single" w:sz="4" w:space="0" w:color="auto"/>
            </w:tcBorders>
            <w:shd w:val="clear" w:color="000000" w:fill="D9D9D9"/>
            <w:vAlign w:val="bottom"/>
            <w:hideMark/>
          </w:tcPr>
          <w:p w14:paraId="4E08B53E"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Funding/ Finance Options to Reduce Deficit</w:t>
            </w:r>
          </w:p>
        </w:tc>
        <w:tc>
          <w:tcPr>
            <w:tcW w:w="1985" w:type="dxa"/>
            <w:tcBorders>
              <w:top w:val="nil"/>
              <w:left w:val="nil"/>
              <w:bottom w:val="single" w:sz="4" w:space="0" w:color="auto"/>
              <w:right w:val="single" w:sz="4" w:space="0" w:color="auto"/>
            </w:tcBorders>
            <w:shd w:val="clear" w:color="000000" w:fill="D9D9D9"/>
            <w:noWrap/>
            <w:vAlign w:val="bottom"/>
            <w:hideMark/>
          </w:tcPr>
          <w:p w14:paraId="3F1DE596"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78FD9211"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32D98991"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 </w:t>
            </w:r>
          </w:p>
        </w:tc>
      </w:tr>
      <w:tr w:rsidR="00E610D6" w:rsidRPr="00E610D6" w14:paraId="22CA2D4F"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550780BB" w14:textId="77777777" w:rsidR="00E610D6" w:rsidRPr="00E610D6" w:rsidRDefault="00E610D6" w:rsidP="00E610D6">
            <w:pPr>
              <w:spacing w:after="0"/>
              <w:rPr>
                <w:rFonts w:cs="Arial"/>
                <w:color w:val="auto"/>
                <w:sz w:val="22"/>
                <w:szCs w:val="22"/>
              </w:rPr>
            </w:pPr>
            <w:r w:rsidRPr="00E610D6">
              <w:rPr>
                <w:rFonts w:cs="Arial"/>
                <w:color w:val="auto"/>
                <w:sz w:val="22"/>
                <w:szCs w:val="22"/>
              </w:rPr>
              <w:t>CIL Relief Contribution</w:t>
            </w:r>
          </w:p>
        </w:tc>
        <w:tc>
          <w:tcPr>
            <w:tcW w:w="1985" w:type="dxa"/>
            <w:tcBorders>
              <w:top w:val="nil"/>
              <w:left w:val="nil"/>
              <w:bottom w:val="single" w:sz="4" w:space="0" w:color="auto"/>
              <w:right w:val="single" w:sz="4" w:space="0" w:color="auto"/>
            </w:tcBorders>
            <w:shd w:val="clear" w:color="auto" w:fill="auto"/>
            <w:noWrap/>
            <w:vAlign w:val="bottom"/>
            <w:hideMark/>
          </w:tcPr>
          <w:p w14:paraId="1BE260D3"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£902,053</w:t>
            </w:r>
          </w:p>
        </w:tc>
        <w:tc>
          <w:tcPr>
            <w:tcW w:w="1559" w:type="dxa"/>
            <w:tcBorders>
              <w:top w:val="nil"/>
              <w:left w:val="nil"/>
              <w:bottom w:val="single" w:sz="4" w:space="0" w:color="auto"/>
              <w:right w:val="single" w:sz="4" w:space="0" w:color="auto"/>
            </w:tcBorders>
            <w:shd w:val="clear" w:color="auto" w:fill="auto"/>
            <w:noWrap/>
            <w:vAlign w:val="bottom"/>
            <w:hideMark/>
          </w:tcPr>
          <w:p w14:paraId="56A93ECA" w14:textId="77777777" w:rsidR="00E610D6" w:rsidRPr="00E610D6" w:rsidRDefault="00E610D6" w:rsidP="00E610D6">
            <w:pPr>
              <w:spacing w:after="0"/>
              <w:rPr>
                <w:rFonts w:cs="Arial"/>
                <w:color w:val="auto"/>
                <w:sz w:val="22"/>
                <w:szCs w:val="22"/>
              </w:rPr>
            </w:pPr>
            <w:r w:rsidRPr="00E610D6">
              <w:rPr>
                <w:rFonts w:cs="Arial"/>
                <w:color w:val="auto"/>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35DAB7CE"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£902,053</w:t>
            </w:r>
          </w:p>
        </w:tc>
      </w:tr>
      <w:tr w:rsidR="00E610D6" w:rsidRPr="00E610D6" w14:paraId="1322A11F"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4138F083" w14:textId="77777777" w:rsidR="00E610D6" w:rsidRPr="00E610D6" w:rsidRDefault="00E610D6" w:rsidP="00E610D6">
            <w:pPr>
              <w:spacing w:after="0"/>
              <w:rPr>
                <w:rFonts w:cs="Arial"/>
                <w:color w:val="auto"/>
                <w:sz w:val="22"/>
                <w:szCs w:val="22"/>
              </w:rPr>
            </w:pPr>
            <w:r w:rsidRPr="00E610D6">
              <w:rPr>
                <w:rFonts w:cs="Arial"/>
                <w:color w:val="auto"/>
                <w:sz w:val="22"/>
                <w:szCs w:val="22"/>
              </w:rPr>
              <w:t>CIL Finance Cost saving</w:t>
            </w:r>
          </w:p>
        </w:tc>
        <w:tc>
          <w:tcPr>
            <w:tcW w:w="1985" w:type="dxa"/>
            <w:tcBorders>
              <w:top w:val="nil"/>
              <w:left w:val="nil"/>
              <w:bottom w:val="single" w:sz="4" w:space="0" w:color="auto"/>
              <w:right w:val="single" w:sz="4" w:space="0" w:color="auto"/>
            </w:tcBorders>
            <w:shd w:val="clear" w:color="auto" w:fill="auto"/>
            <w:noWrap/>
            <w:vAlign w:val="bottom"/>
            <w:hideMark/>
          </w:tcPr>
          <w:p w14:paraId="406FB000"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£183,745</w:t>
            </w:r>
          </w:p>
        </w:tc>
        <w:tc>
          <w:tcPr>
            <w:tcW w:w="1559" w:type="dxa"/>
            <w:tcBorders>
              <w:top w:val="nil"/>
              <w:left w:val="nil"/>
              <w:bottom w:val="single" w:sz="4" w:space="0" w:color="auto"/>
              <w:right w:val="single" w:sz="4" w:space="0" w:color="auto"/>
            </w:tcBorders>
            <w:shd w:val="clear" w:color="auto" w:fill="auto"/>
            <w:noWrap/>
            <w:vAlign w:val="bottom"/>
            <w:hideMark/>
          </w:tcPr>
          <w:p w14:paraId="17BFC4BF" w14:textId="77777777" w:rsidR="00E610D6" w:rsidRPr="00E610D6" w:rsidRDefault="00E610D6" w:rsidP="00E610D6">
            <w:pPr>
              <w:spacing w:after="0"/>
              <w:rPr>
                <w:rFonts w:cs="Arial"/>
                <w:color w:val="auto"/>
                <w:sz w:val="22"/>
                <w:szCs w:val="22"/>
              </w:rPr>
            </w:pPr>
            <w:r w:rsidRPr="00E610D6">
              <w:rPr>
                <w:rFonts w:cs="Arial"/>
                <w:color w:val="auto"/>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32EB9793"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£183,745</w:t>
            </w:r>
          </w:p>
        </w:tc>
      </w:tr>
      <w:tr w:rsidR="00E610D6" w:rsidRPr="00E610D6" w14:paraId="664B2645"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328BD703" w14:textId="77777777" w:rsidR="00E610D6" w:rsidRPr="00E610D6" w:rsidRDefault="00E610D6" w:rsidP="00E610D6">
            <w:pPr>
              <w:spacing w:after="0"/>
              <w:rPr>
                <w:rFonts w:cs="Arial"/>
                <w:color w:val="auto"/>
                <w:sz w:val="22"/>
                <w:szCs w:val="22"/>
              </w:rPr>
            </w:pPr>
            <w:r w:rsidRPr="00E610D6">
              <w:rPr>
                <w:rFonts w:cs="Arial"/>
                <w:color w:val="auto"/>
                <w:sz w:val="22"/>
                <w:szCs w:val="22"/>
              </w:rPr>
              <w:t>HIF Finance Cost saving (see below)</w:t>
            </w:r>
          </w:p>
        </w:tc>
        <w:tc>
          <w:tcPr>
            <w:tcW w:w="1985" w:type="dxa"/>
            <w:tcBorders>
              <w:top w:val="nil"/>
              <w:left w:val="nil"/>
              <w:bottom w:val="single" w:sz="4" w:space="0" w:color="auto"/>
              <w:right w:val="single" w:sz="4" w:space="0" w:color="auto"/>
            </w:tcBorders>
            <w:shd w:val="clear" w:color="auto" w:fill="auto"/>
            <w:noWrap/>
            <w:vAlign w:val="bottom"/>
            <w:hideMark/>
          </w:tcPr>
          <w:p w14:paraId="39C46322"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£761,283</w:t>
            </w:r>
          </w:p>
        </w:tc>
        <w:tc>
          <w:tcPr>
            <w:tcW w:w="1559" w:type="dxa"/>
            <w:tcBorders>
              <w:top w:val="nil"/>
              <w:left w:val="nil"/>
              <w:bottom w:val="single" w:sz="4" w:space="0" w:color="auto"/>
              <w:right w:val="single" w:sz="4" w:space="0" w:color="auto"/>
            </w:tcBorders>
            <w:shd w:val="clear" w:color="auto" w:fill="auto"/>
            <w:noWrap/>
            <w:vAlign w:val="bottom"/>
            <w:hideMark/>
          </w:tcPr>
          <w:p w14:paraId="3E1BEF69" w14:textId="77777777" w:rsidR="00E610D6" w:rsidRPr="00E610D6" w:rsidRDefault="00E610D6" w:rsidP="00E610D6">
            <w:pPr>
              <w:spacing w:after="0"/>
              <w:rPr>
                <w:rFonts w:cs="Arial"/>
                <w:color w:val="auto"/>
                <w:sz w:val="22"/>
                <w:szCs w:val="22"/>
              </w:rPr>
            </w:pPr>
            <w:r w:rsidRPr="00E610D6">
              <w:rPr>
                <w:rFonts w:cs="Arial"/>
                <w:color w:val="auto"/>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50BC63BD"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£761,283</w:t>
            </w:r>
          </w:p>
        </w:tc>
      </w:tr>
      <w:tr w:rsidR="00E610D6" w:rsidRPr="00E610D6" w14:paraId="335251D3" w14:textId="77777777" w:rsidTr="00E610D6">
        <w:trPr>
          <w:trHeight w:val="57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6C081262"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 xml:space="preserve">Baseline Surplus/ Deficit </w:t>
            </w:r>
            <w:proofErr w:type="spellStart"/>
            <w:r w:rsidRPr="00E610D6">
              <w:rPr>
                <w:rFonts w:cs="Arial"/>
                <w:b/>
                <w:bCs/>
                <w:color w:val="auto"/>
                <w:sz w:val="22"/>
                <w:szCs w:val="22"/>
              </w:rPr>
              <w:t>incl</w:t>
            </w:r>
            <w:proofErr w:type="spellEnd"/>
            <w:r w:rsidRPr="00E610D6">
              <w:rPr>
                <w:rFonts w:cs="Arial"/>
                <w:b/>
                <w:bCs/>
                <w:color w:val="auto"/>
                <w:sz w:val="22"/>
                <w:szCs w:val="22"/>
              </w:rPr>
              <w:t>' CIL/ Finance savings</w:t>
            </w:r>
          </w:p>
        </w:tc>
        <w:tc>
          <w:tcPr>
            <w:tcW w:w="1985" w:type="dxa"/>
            <w:tcBorders>
              <w:top w:val="nil"/>
              <w:left w:val="nil"/>
              <w:bottom w:val="single" w:sz="4" w:space="0" w:color="auto"/>
              <w:right w:val="single" w:sz="4" w:space="0" w:color="auto"/>
            </w:tcBorders>
            <w:shd w:val="clear" w:color="auto" w:fill="auto"/>
            <w:noWrap/>
            <w:vAlign w:val="bottom"/>
            <w:hideMark/>
          </w:tcPr>
          <w:p w14:paraId="0CB63A55" w14:textId="77777777" w:rsidR="00E610D6" w:rsidRPr="00E610D6" w:rsidRDefault="00E610D6" w:rsidP="00E610D6">
            <w:pPr>
              <w:spacing w:after="0"/>
              <w:jc w:val="right"/>
              <w:rPr>
                <w:rFonts w:cs="Arial"/>
                <w:b/>
                <w:bCs/>
                <w:color w:val="auto"/>
                <w:sz w:val="22"/>
                <w:szCs w:val="22"/>
              </w:rPr>
            </w:pPr>
            <w:r w:rsidRPr="00E610D6">
              <w:rPr>
                <w:rFonts w:cs="Arial"/>
                <w:b/>
                <w:bCs/>
                <w:color w:val="auto"/>
                <w:sz w:val="22"/>
                <w:szCs w:val="22"/>
              </w:rPr>
              <w:t>-£16,678,763</w:t>
            </w:r>
          </w:p>
        </w:tc>
        <w:tc>
          <w:tcPr>
            <w:tcW w:w="1559" w:type="dxa"/>
            <w:tcBorders>
              <w:top w:val="nil"/>
              <w:left w:val="nil"/>
              <w:bottom w:val="single" w:sz="4" w:space="0" w:color="auto"/>
              <w:right w:val="single" w:sz="4" w:space="0" w:color="auto"/>
            </w:tcBorders>
            <w:shd w:val="clear" w:color="auto" w:fill="auto"/>
            <w:noWrap/>
            <w:vAlign w:val="bottom"/>
            <w:hideMark/>
          </w:tcPr>
          <w:p w14:paraId="45E884C1" w14:textId="77777777" w:rsidR="00E610D6" w:rsidRPr="00E610D6" w:rsidRDefault="00E610D6" w:rsidP="00E610D6">
            <w:pPr>
              <w:spacing w:after="0"/>
              <w:jc w:val="right"/>
              <w:rPr>
                <w:rFonts w:cs="Arial"/>
                <w:b/>
                <w:bCs/>
                <w:color w:val="auto"/>
                <w:sz w:val="22"/>
                <w:szCs w:val="22"/>
              </w:rPr>
            </w:pPr>
            <w:r w:rsidRPr="00E610D6">
              <w:rPr>
                <w:rFonts w:cs="Arial"/>
                <w:b/>
                <w:bCs/>
                <w:color w:val="auto"/>
                <w:sz w:val="22"/>
                <w:szCs w:val="22"/>
              </w:rPr>
              <w:t>-£4,849,173</w:t>
            </w:r>
          </w:p>
        </w:tc>
        <w:tc>
          <w:tcPr>
            <w:tcW w:w="1559" w:type="dxa"/>
            <w:tcBorders>
              <w:top w:val="nil"/>
              <w:left w:val="nil"/>
              <w:bottom w:val="single" w:sz="4" w:space="0" w:color="auto"/>
              <w:right w:val="single" w:sz="4" w:space="0" w:color="auto"/>
            </w:tcBorders>
            <w:shd w:val="clear" w:color="auto" w:fill="auto"/>
            <w:noWrap/>
            <w:vAlign w:val="bottom"/>
            <w:hideMark/>
          </w:tcPr>
          <w:p w14:paraId="0439AA99" w14:textId="77777777" w:rsidR="00E610D6" w:rsidRPr="00E610D6" w:rsidRDefault="00E610D6" w:rsidP="00E610D6">
            <w:pPr>
              <w:spacing w:after="0"/>
              <w:jc w:val="right"/>
              <w:rPr>
                <w:rFonts w:cs="Arial"/>
                <w:b/>
                <w:bCs/>
                <w:color w:val="auto"/>
                <w:sz w:val="22"/>
                <w:szCs w:val="22"/>
              </w:rPr>
            </w:pPr>
            <w:r w:rsidRPr="00E610D6">
              <w:rPr>
                <w:rFonts w:cs="Arial"/>
                <w:b/>
                <w:bCs/>
                <w:color w:val="auto"/>
                <w:sz w:val="22"/>
                <w:szCs w:val="22"/>
              </w:rPr>
              <w:t>-£21,527,935</w:t>
            </w:r>
          </w:p>
        </w:tc>
      </w:tr>
      <w:tr w:rsidR="00E610D6" w:rsidRPr="00E610D6" w14:paraId="66F8FB4C" w14:textId="77777777" w:rsidTr="00E610D6">
        <w:trPr>
          <w:trHeight w:val="310"/>
        </w:trPr>
        <w:tc>
          <w:tcPr>
            <w:tcW w:w="3827" w:type="dxa"/>
            <w:tcBorders>
              <w:top w:val="nil"/>
              <w:left w:val="single" w:sz="4" w:space="0" w:color="auto"/>
              <w:bottom w:val="single" w:sz="4" w:space="0" w:color="auto"/>
              <w:right w:val="single" w:sz="4" w:space="0" w:color="auto"/>
            </w:tcBorders>
            <w:shd w:val="clear" w:color="000000" w:fill="D9D9D9"/>
            <w:vAlign w:val="bottom"/>
            <w:hideMark/>
          </w:tcPr>
          <w:p w14:paraId="7819E5DD"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Further Funding Options to Reduce Deficit</w:t>
            </w:r>
          </w:p>
        </w:tc>
        <w:tc>
          <w:tcPr>
            <w:tcW w:w="1985" w:type="dxa"/>
            <w:tcBorders>
              <w:top w:val="nil"/>
              <w:left w:val="nil"/>
              <w:bottom w:val="single" w:sz="4" w:space="0" w:color="auto"/>
              <w:right w:val="single" w:sz="4" w:space="0" w:color="auto"/>
            </w:tcBorders>
            <w:shd w:val="clear" w:color="000000" w:fill="D9D9D9"/>
            <w:noWrap/>
            <w:vAlign w:val="bottom"/>
            <w:hideMark/>
          </w:tcPr>
          <w:p w14:paraId="149443CD"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16F9D456"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 </w:t>
            </w:r>
          </w:p>
        </w:tc>
        <w:tc>
          <w:tcPr>
            <w:tcW w:w="1559" w:type="dxa"/>
            <w:tcBorders>
              <w:top w:val="nil"/>
              <w:left w:val="nil"/>
              <w:bottom w:val="single" w:sz="4" w:space="0" w:color="auto"/>
              <w:right w:val="single" w:sz="4" w:space="0" w:color="auto"/>
            </w:tcBorders>
            <w:shd w:val="clear" w:color="000000" w:fill="D9D9D9"/>
            <w:noWrap/>
            <w:vAlign w:val="bottom"/>
            <w:hideMark/>
          </w:tcPr>
          <w:p w14:paraId="095397F3"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 </w:t>
            </w:r>
          </w:p>
        </w:tc>
      </w:tr>
      <w:tr w:rsidR="00E610D6" w:rsidRPr="00E610D6" w14:paraId="289153DB"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78CD9163" w14:textId="77777777" w:rsidR="00E610D6" w:rsidRPr="00E610D6" w:rsidRDefault="00E610D6" w:rsidP="00E610D6">
            <w:pPr>
              <w:spacing w:after="0"/>
              <w:rPr>
                <w:rFonts w:cs="Arial"/>
                <w:color w:val="auto"/>
                <w:sz w:val="22"/>
                <w:szCs w:val="22"/>
              </w:rPr>
            </w:pPr>
            <w:r w:rsidRPr="00E610D6">
              <w:rPr>
                <w:rFonts w:cs="Arial"/>
                <w:color w:val="auto"/>
                <w:sz w:val="22"/>
                <w:szCs w:val="22"/>
              </w:rPr>
              <w:t>s106 Contribution</w:t>
            </w:r>
          </w:p>
        </w:tc>
        <w:tc>
          <w:tcPr>
            <w:tcW w:w="1985" w:type="dxa"/>
            <w:tcBorders>
              <w:top w:val="nil"/>
              <w:left w:val="nil"/>
              <w:bottom w:val="single" w:sz="4" w:space="0" w:color="auto"/>
              <w:right w:val="single" w:sz="4" w:space="0" w:color="auto"/>
            </w:tcBorders>
            <w:shd w:val="clear" w:color="auto" w:fill="auto"/>
            <w:noWrap/>
            <w:vAlign w:val="bottom"/>
            <w:hideMark/>
          </w:tcPr>
          <w:p w14:paraId="014F69B2"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£2,750,827</w:t>
            </w:r>
          </w:p>
        </w:tc>
        <w:tc>
          <w:tcPr>
            <w:tcW w:w="1559" w:type="dxa"/>
            <w:tcBorders>
              <w:top w:val="nil"/>
              <w:left w:val="nil"/>
              <w:bottom w:val="single" w:sz="4" w:space="0" w:color="auto"/>
              <w:right w:val="single" w:sz="4" w:space="0" w:color="auto"/>
            </w:tcBorders>
            <w:shd w:val="clear" w:color="auto" w:fill="auto"/>
            <w:noWrap/>
            <w:vAlign w:val="bottom"/>
            <w:hideMark/>
          </w:tcPr>
          <w:p w14:paraId="5E968656"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£4,849,173</w:t>
            </w:r>
          </w:p>
        </w:tc>
        <w:tc>
          <w:tcPr>
            <w:tcW w:w="1559" w:type="dxa"/>
            <w:tcBorders>
              <w:top w:val="nil"/>
              <w:left w:val="nil"/>
              <w:bottom w:val="single" w:sz="4" w:space="0" w:color="auto"/>
              <w:right w:val="single" w:sz="4" w:space="0" w:color="auto"/>
            </w:tcBorders>
            <w:shd w:val="clear" w:color="auto" w:fill="auto"/>
            <w:noWrap/>
            <w:vAlign w:val="bottom"/>
            <w:hideMark/>
          </w:tcPr>
          <w:p w14:paraId="4FAC85AE"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£7,600,000</w:t>
            </w:r>
          </w:p>
        </w:tc>
      </w:tr>
      <w:tr w:rsidR="00E610D6" w:rsidRPr="00E610D6" w14:paraId="5B7800D0"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6A4AC4C2" w14:textId="77777777" w:rsidR="00E610D6" w:rsidRPr="00E610D6" w:rsidRDefault="00E610D6" w:rsidP="00E610D6">
            <w:pPr>
              <w:spacing w:after="0"/>
              <w:rPr>
                <w:rFonts w:cs="Arial"/>
                <w:color w:val="auto"/>
                <w:sz w:val="22"/>
                <w:szCs w:val="22"/>
              </w:rPr>
            </w:pPr>
            <w:r w:rsidRPr="00E610D6">
              <w:rPr>
                <w:rFonts w:cs="Arial"/>
                <w:color w:val="auto"/>
                <w:sz w:val="22"/>
                <w:szCs w:val="22"/>
              </w:rPr>
              <w:t>HIF Contribution</w:t>
            </w:r>
          </w:p>
        </w:tc>
        <w:tc>
          <w:tcPr>
            <w:tcW w:w="1985" w:type="dxa"/>
            <w:tcBorders>
              <w:top w:val="nil"/>
              <w:left w:val="nil"/>
              <w:bottom w:val="single" w:sz="4" w:space="0" w:color="auto"/>
              <w:right w:val="single" w:sz="4" w:space="0" w:color="auto"/>
            </w:tcBorders>
            <w:shd w:val="clear" w:color="auto" w:fill="auto"/>
            <w:noWrap/>
            <w:vAlign w:val="bottom"/>
            <w:hideMark/>
          </w:tcPr>
          <w:p w14:paraId="516B3C43"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£6,250,000</w:t>
            </w:r>
          </w:p>
        </w:tc>
        <w:tc>
          <w:tcPr>
            <w:tcW w:w="1559" w:type="dxa"/>
            <w:tcBorders>
              <w:top w:val="nil"/>
              <w:left w:val="nil"/>
              <w:bottom w:val="single" w:sz="4" w:space="0" w:color="auto"/>
              <w:right w:val="single" w:sz="4" w:space="0" w:color="auto"/>
            </w:tcBorders>
            <w:shd w:val="clear" w:color="auto" w:fill="auto"/>
            <w:noWrap/>
            <w:vAlign w:val="bottom"/>
            <w:hideMark/>
          </w:tcPr>
          <w:p w14:paraId="19F3C4DD" w14:textId="77777777" w:rsidR="00E610D6" w:rsidRPr="00E610D6" w:rsidRDefault="00E610D6" w:rsidP="00E610D6">
            <w:pPr>
              <w:spacing w:after="0"/>
              <w:rPr>
                <w:rFonts w:cs="Arial"/>
                <w:color w:val="auto"/>
                <w:sz w:val="22"/>
                <w:szCs w:val="22"/>
              </w:rPr>
            </w:pPr>
            <w:r w:rsidRPr="00E610D6">
              <w:rPr>
                <w:rFonts w:cs="Arial"/>
                <w:color w:val="auto"/>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37D402B1"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£6,250,000</w:t>
            </w:r>
          </w:p>
        </w:tc>
      </w:tr>
      <w:tr w:rsidR="00E610D6" w:rsidRPr="00E610D6" w14:paraId="103801B3"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25C41477" w14:textId="77777777" w:rsidR="00E610D6" w:rsidRPr="00E610D6" w:rsidRDefault="00E610D6" w:rsidP="00E610D6">
            <w:pPr>
              <w:spacing w:after="0"/>
              <w:rPr>
                <w:rFonts w:cs="Arial"/>
                <w:color w:val="auto"/>
                <w:sz w:val="22"/>
                <w:szCs w:val="22"/>
              </w:rPr>
            </w:pPr>
            <w:r w:rsidRPr="00E610D6">
              <w:rPr>
                <w:rFonts w:cs="Arial"/>
                <w:color w:val="auto"/>
                <w:sz w:val="22"/>
                <w:szCs w:val="22"/>
              </w:rPr>
              <w:t>Capital Receipt</w:t>
            </w:r>
          </w:p>
        </w:tc>
        <w:tc>
          <w:tcPr>
            <w:tcW w:w="1985" w:type="dxa"/>
            <w:tcBorders>
              <w:top w:val="nil"/>
              <w:left w:val="nil"/>
              <w:bottom w:val="single" w:sz="4" w:space="0" w:color="auto"/>
              <w:right w:val="single" w:sz="4" w:space="0" w:color="auto"/>
            </w:tcBorders>
            <w:shd w:val="clear" w:color="auto" w:fill="auto"/>
            <w:noWrap/>
            <w:vAlign w:val="bottom"/>
            <w:hideMark/>
          </w:tcPr>
          <w:p w14:paraId="6E51D818"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£2,256,000</w:t>
            </w:r>
          </w:p>
        </w:tc>
        <w:tc>
          <w:tcPr>
            <w:tcW w:w="1559" w:type="dxa"/>
            <w:tcBorders>
              <w:top w:val="nil"/>
              <w:left w:val="nil"/>
              <w:bottom w:val="single" w:sz="4" w:space="0" w:color="auto"/>
              <w:right w:val="single" w:sz="4" w:space="0" w:color="auto"/>
            </w:tcBorders>
            <w:shd w:val="clear" w:color="auto" w:fill="auto"/>
            <w:noWrap/>
            <w:vAlign w:val="bottom"/>
            <w:hideMark/>
          </w:tcPr>
          <w:p w14:paraId="54DBF9C4" w14:textId="77777777" w:rsidR="00E610D6" w:rsidRPr="00E610D6" w:rsidRDefault="00E610D6" w:rsidP="00E610D6">
            <w:pPr>
              <w:spacing w:after="0"/>
              <w:rPr>
                <w:rFonts w:cs="Arial"/>
                <w:color w:val="auto"/>
                <w:sz w:val="22"/>
                <w:szCs w:val="22"/>
              </w:rPr>
            </w:pPr>
            <w:r w:rsidRPr="00E610D6">
              <w:rPr>
                <w:rFonts w:cs="Arial"/>
                <w:color w:val="auto"/>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1609C785"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£2,256,000</w:t>
            </w:r>
          </w:p>
        </w:tc>
      </w:tr>
      <w:tr w:rsidR="00E610D6" w:rsidRPr="00E610D6" w14:paraId="57742BD6"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4FA5F556" w14:textId="77777777" w:rsidR="00E610D6" w:rsidRPr="00E610D6" w:rsidRDefault="00E610D6" w:rsidP="00E610D6">
            <w:pPr>
              <w:spacing w:after="0"/>
              <w:rPr>
                <w:rFonts w:cs="Arial"/>
                <w:color w:val="auto"/>
                <w:sz w:val="22"/>
                <w:szCs w:val="22"/>
              </w:rPr>
            </w:pPr>
            <w:r w:rsidRPr="00E610D6">
              <w:rPr>
                <w:rFonts w:cs="Arial"/>
                <w:color w:val="auto"/>
                <w:sz w:val="22"/>
                <w:szCs w:val="22"/>
              </w:rPr>
              <w:t>HRA</w:t>
            </w:r>
          </w:p>
        </w:tc>
        <w:tc>
          <w:tcPr>
            <w:tcW w:w="1985" w:type="dxa"/>
            <w:tcBorders>
              <w:top w:val="nil"/>
              <w:left w:val="nil"/>
              <w:bottom w:val="single" w:sz="4" w:space="0" w:color="auto"/>
              <w:right w:val="single" w:sz="4" w:space="0" w:color="auto"/>
            </w:tcBorders>
            <w:shd w:val="clear" w:color="auto" w:fill="auto"/>
            <w:noWrap/>
            <w:vAlign w:val="bottom"/>
            <w:hideMark/>
          </w:tcPr>
          <w:p w14:paraId="2CC1BEC2"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£4,000,000</w:t>
            </w:r>
          </w:p>
        </w:tc>
        <w:tc>
          <w:tcPr>
            <w:tcW w:w="1559" w:type="dxa"/>
            <w:tcBorders>
              <w:top w:val="nil"/>
              <w:left w:val="nil"/>
              <w:bottom w:val="single" w:sz="4" w:space="0" w:color="auto"/>
              <w:right w:val="single" w:sz="4" w:space="0" w:color="auto"/>
            </w:tcBorders>
            <w:shd w:val="clear" w:color="auto" w:fill="auto"/>
            <w:noWrap/>
            <w:vAlign w:val="bottom"/>
            <w:hideMark/>
          </w:tcPr>
          <w:p w14:paraId="1FBFDC24" w14:textId="77777777" w:rsidR="00E610D6" w:rsidRPr="00E610D6" w:rsidRDefault="00E610D6" w:rsidP="00E610D6">
            <w:pPr>
              <w:spacing w:after="0"/>
              <w:rPr>
                <w:rFonts w:cs="Arial"/>
                <w:color w:val="auto"/>
                <w:sz w:val="22"/>
                <w:szCs w:val="22"/>
              </w:rPr>
            </w:pPr>
            <w:r w:rsidRPr="00E610D6">
              <w:rPr>
                <w:rFonts w:cs="Arial"/>
                <w:color w:val="auto"/>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1E6D0561"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£4,000,000</w:t>
            </w:r>
          </w:p>
        </w:tc>
      </w:tr>
      <w:tr w:rsidR="00E610D6" w:rsidRPr="00E610D6" w14:paraId="07D61BD1"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1EC2832A" w14:textId="77777777" w:rsidR="00E610D6" w:rsidRPr="00E610D6" w:rsidRDefault="00E610D6" w:rsidP="00E610D6">
            <w:pPr>
              <w:spacing w:after="0"/>
              <w:rPr>
                <w:rFonts w:cs="Arial"/>
                <w:color w:val="auto"/>
                <w:sz w:val="22"/>
                <w:szCs w:val="22"/>
              </w:rPr>
            </w:pPr>
            <w:r w:rsidRPr="00E610D6">
              <w:rPr>
                <w:rFonts w:cs="Arial"/>
                <w:color w:val="auto"/>
                <w:sz w:val="22"/>
                <w:szCs w:val="22"/>
              </w:rPr>
              <w:t>CIL</w:t>
            </w:r>
          </w:p>
        </w:tc>
        <w:tc>
          <w:tcPr>
            <w:tcW w:w="1985" w:type="dxa"/>
            <w:tcBorders>
              <w:top w:val="nil"/>
              <w:left w:val="nil"/>
              <w:bottom w:val="single" w:sz="4" w:space="0" w:color="auto"/>
              <w:right w:val="single" w:sz="4" w:space="0" w:color="auto"/>
            </w:tcBorders>
            <w:shd w:val="clear" w:color="auto" w:fill="auto"/>
            <w:noWrap/>
            <w:vAlign w:val="bottom"/>
            <w:hideMark/>
          </w:tcPr>
          <w:p w14:paraId="272EB49B"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£1,421,935</w:t>
            </w:r>
          </w:p>
        </w:tc>
        <w:tc>
          <w:tcPr>
            <w:tcW w:w="1559" w:type="dxa"/>
            <w:tcBorders>
              <w:top w:val="nil"/>
              <w:left w:val="nil"/>
              <w:bottom w:val="single" w:sz="4" w:space="0" w:color="auto"/>
              <w:right w:val="single" w:sz="4" w:space="0" w:color="auto"/>
            </w:tcBorders>
            <w:shd w:val="clear" w:color="auto" w:fill="auto"/>
            <w:noWrap/>
            <w:vAlign w:val="bottom"/>
            <w:hideMark/>
          </w:tcPr>
          <w:p w14:paraId="45D369B0" w14:textId="77777777" w:rsidR="00E610D6" w:rsidRPr="00E610D6" w:rsidRDefault="00E610D6" w:rsidP="00E610D6">
            <w:pPr>
              <w:spacing w:after="0"/>
              <w:rPr>
                <w:rFonts w:cs="Arial"/>
                <w:color w:val="auto"/>
                <w:sz w:val="22"/>
                <w:szCs w:val="22"/>
              </w:rPr>
            </w:pPr>
            <w:r w:rsidRPr="00E610D6">
              <w:rPr>
                <w:rFonts w:cs="Arial"/>
                <w:color w:val="auto"/>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5A8A546F" w14:textId="77777777" w:rsidR="00E610D6" w:rsidRPr="00E610D6" w:rsidRDefault="00E610D6" w:rsidP="00E610D6">
            <w:pPr>
              <w:spacing w:after="0"/>
              <w:jc w:val="right"/>
              <w:rPr>
                <w:rFonts w:cs="Arial"/>
                <w:color w:val="auto"/>
                <w:sz w:val="22"/>
                <w:szCs w:val="22"/>
              </w:rPr>
            </w:pPr>
            <w:r w:rsidRPr="00E610D6">
              <w:rPr>
                <w:rFonts w:cs="Arial"/>
                <w:color w:val="auto"/>
                <w:sz w:val="22"/>
                <w:szCs w:val="22"/>
              </w:rPr>
              <w:t>£1,421,935</w:t>
            </w:r>
          </w:p>
        </w:tc>
      </w:tr>
      <w:tr w:rsidR="00E610D6" w:rsidRPr="00E610D6" w14:paraId="688B645D" w14:textId="77777777" w:rsidTr="00E610D6">
        <w:trPr>
          <w:trHeight w:val="310"/>
        </w:trPr>
        <w:tc>
          <w:tcPr>
            <w:tcW w:w="3827" w:type="dxa"/>
            <w:tcBorders>
              <w:top w:val="nil"/>
              <w:left w:val="single" w:sz="4" w:space="0" w:color="auto"/>
              <w:bottom w:val="single" w:sz="4" w:space="0" w:color="auto"/>
              <w:right w:val="single" w:sz="4" w:space="0" w:color="auto"/>
            </w:tcBorders>
            <w:shd w:val="clear" w:color="auto" w:fill="auto"/>
            <w:vAlign w:val="bottom"/>
            <w:hideMark/>
          </w:tcPr>
          <w:p w14:paraId="3BF5CD35" w14:textId="77777777" w:rsidR="00E610D6" w:rsidRPr="00E610D6" w:rsidRDefault="00E610D6" w:rsidP="00E610D6">
            <w:pPr>
              <w:spacing w:after="0"/>
              <w:rPr>
                <w:rFonts w:cs="Arial"/>
                <w:b/>
                <w:bCs/>
                <w:color w:val="auto"/>
                <w:sz w:val="22"/>
                <w:szCs w:val="22"/>
              </w:rPr>
            </w:pPr>
            <w:r w:rsidRPr="00E610D6">
              <w:rPr>
                <w:rFonts w:cs="Arial"/>
                <w:b/>
                <w:bCs/>
                <w:color w:val="auto"/>
                <w:sz w:val="22"/>
                <w:szCs w:val="22"/>
              </w:rPr>
              <w:t>Baseline Surplus/ Deficit</w:t>
            </w:r>
          </w:p>
        </w:tc>
        <w:tc>
          <w:tcPr>
            <w:tcW w:w="1985" w:type="dxa"/>
            <w:tcBorders>
              <w:top w:val="nil"/>
              <w:left w:val="nil"/>
              <w:bottom w:val="single" w:sz="4" w:space="0" w:color="auto"/>
              <w:right w:val="single" w:sz="4" w:space="0" w:color="auto"/>
            </w:tcBorders>
            <w:shd w:val="clear" w:color="auto" w:fill="auto"/>
            <w:noWrap/>
            <w:vAlign w:val="bottom"/>
            <w:hideMark/>
          </w:tcPr>
          <w:p w14:paraId="5FCE5181" w14:textId="77777777" w:rsidR="00E610D6" w:rsidRPr="00E610D6" w:rsidRDefault="00E610D6" w:rsidP="00E610D6">
            <w:pPr>
              <w:spacing w:after="0"/>
              <w:jc w:val="right"/>
              <w:rPr>
                <w:rFonts w:cs="Arial"/>
                <w:b/>
                <w:bCs/>
                <w:color w:val="auto"/>
                <w:sz w:val="22"/>
                <w:szCs w:val="22"/>
              </w:rPr>
            </w:pPr>
            <w:r w:rsidRPr="00E610D6">
              <w:rPr>
                <w:rFonts w:cs="Arial"/>
                <w:b/>
                <w:bCs/>
                <w:color w:val="auto"/>
                <w:sz w:val="22"/>
                <w:szCs w:val="22"/>
              </w:rPr>
              <w:t>-£0</w:t>
            </w:r>
          </w:p>
        </w:tc>
        <w:tc>
          <w:tcPr>
            <w:tcW w:w="1559" w:type="dxa"/>
            <w:tcBorders>
              <w:top w:val="nil"/>
              <w:left w:val="nil"/>
              <w:bottom w:val="single" w:sz="4" w:space="0" w:color="auto"/>
              <w:right w:val="single" w:sz="4" w:space="0" w:color="auto"/>
            </w:tcBorders>
            <w:shd w:val="clear" w:color="auto" w:fill="auto"/>
            <w:noWrap/>
            <w:vAlign w:val="bottom"/>
            <w:hideMark/>
          </w:tcPr>
          <w:p w14:paraId="0919A73F" w14:textId="77777777" w:rsidR="00E610D6" w:rsidRPr="00E610D6" w:rsidRDefault="00E610D6" w:rsidP="00E610D6">
            <w:pPr>
              <w:spacing w:after="0"/>
              <w:jc w:val="right"/>
              <w:rPr>
                <w:rFonts w:cs="Arial"/>
                <w:b/>
                <w:bCs/>
                <w:color w:val="auto"/>
                <w:sz w:val="22"/>
                <w:szCs w:val="22"/>
              </w:rPr>
            </w:pPr>
            <w:r w:rsidRPr="00E610D6">
              <w:rPr>
                <w:rFonts w:cs="Arial"/>
                <w:b/>
                <w:bCs/>
                <w:color w:val="auto"/>
                <w:sz w:val="22"/>
                <w:szCs w:val="22"/>
              </w:rPr>
              <w:t>£0</w:t>
            </w:r>
          </w:p>
        </w:tc>
        <w:tc>
          <w:tcPr>
            <w:tcW w:w="1559" w:type="dxa"/>
            <w:tcBorders>
              <w:top w:val="nil"/>
              <w:left w:val="nil"/>
              <w:bottom w:val="single" w:sz="4" w:space="0" w:color="auto"/>
              <w:right w:val="single" w:sz="4" w:space="0" w:color="auto"/>
            </w:tcBorders>
            <w:shd w:val="clear" w:color="auto" w:fill="auto"/>
            <w:noWrap/>
            <w:vAlign w:val="bottom"/>
            <w:hideMark/>
          </w:tcPr>
          <w:p w14:paraId="3831C626" w14:textId="77777777" w:rsidR="00E610D6" w:rsidRPr="00E610D6" w:rsidRDefault="00E610D6" w:rsidP="00E610D6">
            <w:pPr>
              <w:spacing w:after="0"/>
              <w:jc w:val="right"/>
              <w:rPr>
                <w:rFonts w:cs="Arial"/>
                <w:b/>
                <w:bCs/>
                <w:color w:val="auto"/>
                <w:sz w:val="22"/>
                <w:szCs w:val="22"/>
              </w:rPr>
            </w:pPr>
            <w:r w:rsidRPr="00E610D6">
              <w:rPr>
                <w:rFonts w:cs="Arial"/>
                <w:b/>
                <w:bCs/>
                <w:color w:val="auto"/>
                <w:sz w:val="22"/>
                <w:szCs w:val="22"/>
              </w:rPr>
              <w:t>-£0</w:t>
            </w:r>
          </w:p>
        </w:tc>
      </w:tr>
    </w:tbl>
    <w:p w14:paraId="2CC08724" w14:textId="77777777" w:rsidR="00DF780D" w:rsidRDefault="00DF780D" w:rsidP="00DF780D">
      <w:pPr>
        <w:pStyle w:val="ListParagraph"/>
        <w:numPr>
          <w:ilvl w:val="0"/>
          <w:numId w:val="0"/>
        </w:numPr>
        <w:tabs>
          <w:tab w:val="clear" w:pos="426"/>
          <w:tab w:val="left" w:pos="567"/>
        </w:tabs>
        <w:ind w:left="567" w:right="367"/>
        <w:jc w:val="both"/>
        <w:rPr>
          <w:color w:val="auto"/>
        </w:rPr>
      </w:pPr>
    </w:p>
    <w:p w14:paraId="79E00A10" w14:textId="4270B8F4" w:rsidR="006410A4" w:rsidRDefault="00E04D19" w:rsidP="00627985">
      <w:pPr>
        <w:pStyle w:val="ListParagraph"/>
        <w:numPr>
          <w:ilvl w:val="0"/>
          <w:numId w:val="9"/>
        </w:numPr>
        <w:tabs>
          <w:tab w:val="clear" w:pos="426"/>
          <w:tab w:val="left" w:pos="567"/>
        </w:tabs>
        <w:ind w:left="567" w:right="367" w:hanging="425"/>
        <w:jc w:val="both"/>
        <w:rPr>
          <w:color w:val="auto"/>
        </w:rPr>
      </w:pPr>
      <w:r w:rsidRPr="006410A4">
        <w:rPr>
          <w:color w:val="auto"/>
        </w:rPr>
        <w:t xml:space="preserve">The total funded by the Council split between the HRA and General Fund is </w:t>
      </w:r>
      <w:r w:rsidR="00956F06" w:rsidRPr="006410A4">
        <w:rPr>
          <w:color w:val="auto"/>
        </w:rPr>
        <w:t xml:space="preserve">detailed within </w:t>
      </w:r>
      <w:r w:rsidR="006410A4">
        <w:rPr>
          <w:color w:val="auto"/>
        </w:rPr>
        <w:t>Appendix 3</w:t>
      </w:r>
      <w:r w:rsidRPr="006410A4">
        <w:rPr>
          <w:color w:val="auto"/>
        </w:rPr>
        <w:t xml:space="preserve">. The Council will </w:t>
      </w:r>
      <w:r w:rsidR="005C7FAD" w:rsidRPr="006410A4">
        <w:rPr>
          <w:color w:val="auto"/>
        </w:rPr>
        <w:t>need to make provision for these amounts within its Capital Programme</w:t>
      </w:r>
      <w:r w:rsidR="00417ECA" w:rsidRPr="006410A4">
        <w:rPr>
          <w:color w:val="auto"/>
        </w:rPr>
        <w:t>.</w:t>
      </w:r>
      <w:r w:rsidR="00A73098" w:rsidRPr="00A73098">
        <w:t xml:space="preserve"> </w:t>
      </w:r>
      <w:r w:rsidR="00A73098" w:rsidRPr="006410A4">
        <w:rPr>
          <w:color w:val="auto"/>
        </w:rPr>
        <w:t xml:space="preserve">The Council has already made provision within its HRA for an amount of £5.762 million. The latest viability assessment will reduce this amount to £4 million </w:t>
      </w:r>
      <w:r w:rsidR="004F2648">
        <w:rPr>
          <w:color w:val="auto"/>
        </w:rPr>
        <w:t>with the majority spend</w:t>
      </w:r>
      <w:r w:rsidR="00A73098" w:rsidRPr="006410A4">
        <w:rPr>
          <w:color w:val="auto"/>
        </w:rPr>
        <w:t xml:space="preserve"> </w:t>
      </w:r>
      <w:r w:rsidR="00F37445">
        <w:rPr>
          <w:color w:val="auto"/>
        </w:rPr>
        <w:t xml:space="preserve">in </w:t>
      </w:r>
      <w:r w:rsidR="00A73098" w:rsidRPr="006410A4">
        <w:rPr>
          <w:color w:val="auto"/>
        </w:rPr>
        <w:t>202</w:t>
      </w:r>
      <w:r w:rsidR="004F2648">
        <w:rPr>
          <w:color w:val="auto"/>
        </w:rPr>
        <w:t>3</w:t>
      </w:r>
      <w:r w:rsidR="00A73098" w:rsidRPr="006410A4">
        <w:rPr>
          <w:color w:val="auto"/>
        </w:rPr>
        <w:t>-2</w:t>
      </w:r>
      <w:r w:rsidR="004F2648">
        <w:rPr>
          <w:color w:val="auto"/>
        </w:rPr>
        <w:t>4</w:t>
      </w:r>
      <w:r w:rsidR="00A73098" w:rsidRPr="006410A4">
        <w:rPr>
          <w:color w:val="auto"/>
        </w:rPr>
        <w:t xml:space="preserve"> which will be the revised budget for the HRA, £297k of which has already been allocated in 2019-20. </w:t>
      </w:r>
      <w:r w:rsidR="004F2648">
        <w:rPr>
          <w:color w:val="auto"/>
        </w:rPr>
        <w:t>The detailed allocation of the HRA is set out in the Confidential Financial Summary Appendix 3.</w:t>
      </w:r>
    </w:p>
    <w:p w14:paraId="1A7DC6F7" w14:textId="6CA89BB0" w:rsidR="006410A4" w:rsidRPr="00610FFC" w:rsidRDefault="00A73098" w:rsidP="00627985">
      <w:pPr>
        <w:pStyle w:val="ListParagraph"/>
        <w:numPr>
          <w:ilvl w:val="0"/>
          <w:numId w:val="9"/>
        </w:numPr>
        <w:tabs>
          <w:tab w:val="clear" w:pos="426"/>
          <w:tab w:val="left" w:pos="567"/>
        </w:tabs>
        <w:ind w:left="567" w:right="367" w:hanging="425"/>
        <w:jc w:val="both"/>
        <w:rPr>
          <w:color w:val="auto"/>
        </w:rPr>
      </w:pPr>
      <w:r w:rsidRPr="00610FFC">
        <w:rPr>
          <w:color w:val="auto"/>
        </w:rPr>
        <w:t>There is currently no budget within the Council</w:t>
      </w:r>
      <w:r w:rsidR="00610FFC" w:rsidRPr="00610FFC">
        <w:rPr>
          <w:color w:val="auto"/>
        </w:rPr>
        <w:t>’</w:t>
      </w:r>
      <w:r w:rsidRPr="00610FFC">
        <w:rPr>
          <w:color w:val="auto"/>
        </w:rPr>
        <w:t>s General Fund Capital Programme and an amount of £</w:t>
      </w:r>
      <w:r w:rsidR="00135DA5">
        <w:rPr>
          <w:color w:val="auto"/>
        </w:rPr>
        <w:t>1</w:t>
      </w:r>
      <w:r w:rsidR="00F62458">
        <w:rPr>
          <w:color w:val="auto"/>
        </w:rPr>
        <w:t>7</w:t>
      </w:r>
      <w:r w:rsidR="00135DA5">
        <w:rPr>
          <w:color w:val="auto"/>
        </w:rPr>
        <w:t>.</w:t>
      </w:r>
      <w:r w:rsidR="00F62458">
        <w:rPr>
          <w:color w:val="auto"/>
        </w:rPr>
        <w:t>194</w:t>
      </w:r>
      <w:r w:rsidRPr="00610FFC">
        <w:rPr>
          <w:color w:val="auto"/>
        </w:rPr>
        <w:t xml:space="preserve"> million will need to be included </w:t>
      </w:r>
      <w:r w:rsidR="004F2648">
        <w:rPr>
          <w:color w:val="auto"/>
        </w:rPr>
        <w:t>across</w:t>
      </w:r>
      <w:r w:rsidRPr="00610FFC">
        <w:rPr>
          <w:color w:val="auto"/>
        </w:rPr>
        <w:t xml:space="preserve"> 2022-26.</w:t>
      </w:r>
      <w:r w:rsidR="00610FFC">
        <w:rPr>
          <w:color w:val="auto"/>
        </w:rPr>
        <w:t xml:space="preserve"> </w:t>
      </w:r>
      <w:r w:rsidR="004F2648">
        <w:rPr>
          <w:color w:val="auto"/>
        </w:rPr>
        <w:t>The details of the proposed provision is set out in the</w:t>
      </w:r>
      <w:r w:rsidR="00E5215E" w:rsidRPr="00E5215E">
        <w:rPr>
          <w:color w:val="auto"/>
        </w:rPr>
        <w:t xml:space="preserve"> </w:t>
      </w:r>
      <w:r w:rsidR="00E5215E">
        <w:rPr>
          <w:color w:val="auto"/>
        </w:rPr>
        <w:t>Confidential Financial Summary Appendix 3.</w:t>
      </w:r>
      <w:r w:rsidR="004F2648">
        <w:rPr>
          <w:color w:val="auto"/>
        </w:rPr>
        <w:t xml:space="preserve"> </w:t>
      </w:r>
      <w:r w:rsidRPr="00610FFC">
        <w:rPr>
          <w:color w:val="auto"/>
        </w:rPr>
        <w:t xml:space="preserve">The project may require additional budgetary provision in order to obtain the necessary planning approvals. Should this be required then a further report will be prepared to Cabinet to </w:t>
      </w:r>
      <w:r w:rsidR="00610FFC">
        <w:rPr>
          <w:color w:val="auto"/>
        </w:rPr>
        <w:t>seek</w:t>
      </w:r>
      <w:r w:rsidRPr="00610FFC">
        <w:rPr>
          <w:color w:val="auto"/>
        </w:rPr>
        <w:t xml:space="preserve"> the increased budget approval</w:t>
      </w:r>
      <w:r w:rsidR="006410A4" w:rsidRPr="00610FFC">
        <w:rPr>
          <w:color w:val="auto"/>
        </w:rPr>
        <w:t xml:space="preserve"> before the project progresses </w:t>
      </w:r>
      <w:r w:rsidRPr="00610FFC">
        <w:rPr>
          <w:color w:val="auto"/>
        </w:rPr>
        <w:t xml:space="preserve">since the amounts will be payable to Catalyst in the form of capital grants. </w:t>
      </w:r>
    </w:p>
    <w:p w14:paraId="501B0FFB" w14:textId="48E5D551" w:rsidR="00610FFC" w:rsidRDefault="00D86969" w:rsidP="00117E91">
      <w:pPr>
        <w:pStyle w:val="ListParagraph"/>
        <w:numPr>
          <w:ilvl w:val="0"/>
          <w:numId w:val="9"/>
        </w:numPr>
        <w:tabs>
          <w:tab w:val="clear" w:pos="426"/>
          <w:tab w:val="left" w:pos="567"/>
        </w:tabs>
        <w:ind w:left="567" w:right="367" w:hanging="425"/>
        <w:jc w:val="both"/>
        <w:rPr>
          <w:color w:val="auto"/>
        </w:rPr>
      </w:pPr>
      <w:r w:rsidRPr="006410A4">
        <w:rPr>
          <w:color w:val="auto"/>
        </w:rPr>
        <w:lastRenderedPageBreak/>
        <w:t>T</w:t>
      </w:r>
      <w:r w:rsidR="008F5F91" w:rsidRPr="006410A4">
        <w:rPr>
          <w:color w:val="auto"/>
        </w:rPr>
        <w:t xml:space="preserve">he project requires the input of land at nil cost to the scheme. The </w:t>
      </w:r>
      <w:r w:rsidR="009F11D1" w:rsidRPr="006410A4">
        <w:rPr>
          <w:color w:val="auto"/>
        </w:rPr>
        <w:t>book</w:t>
      </w:r>
      <w:r w:rsidR="008F5F91" w:rsidRPr="006410A4">
        <w:rPr>
          <w:color w:val="auto"/>
        </w:rPr>
        <w:t xml:space="preserve"> value of </w:t>
      </w:r>
      <w:r w:rsidR="009F11D1" w:rsidRPr="006410A4">
        <w:rPr>
          <w:color w:val="auto"/>
        </w:rPr>
        <w:t>the assets</w:t>
      </w:r>
      <w:r w:rsidR="008F5F91" w:rsidRPr="006410A4">
        <w:rPr>
          <w:color w:val="auto"/>
        </w:rPr>
        <w:t xml:space="preserve"> held by the Council is estimated at £</w:t>
      </w:r>
      <w:r w:rsidR="009F11D1" w:rsidRPr="006410A4">
        <w:rPr>
          <w:color w:val="auto"/>
        </w:rPr>
        <w:t>3.</w:t>
      </w:r>
      <w:r w:rsidR="00C94DCF" w:rsidRPr="006410A4">
        <w:rPr>
          <w:color w:val="auto"/>
        </w:rPr>
        <w:t>3</w:t>
      </w:r>
      <w:r w:rsidR="00135DA5">
        <w:rPr>
          <w:color w:val="auto"/>
        </w:rPr>
        <w:t xml:space="preserve"> </w:t>
      </w:r>
      <w:r w:rsidR="00C94DCF" w:rsidRPr="006410A4">
        <w:rPr>
          <w:color w:val="auto"/>
        </w:rPr>
        <w:t>m</w:t>
      </w:r>
      <w:r w:rsidR="00135DA5">
        <w:rPr>
          <w:color w:val="auto"/>
        </w:rPr>
        <w:t>illion</w:t>
      </w:r>
      <w:r w:rsidR="00C94DCF" w:rsidRPr="006410A4">
        <w:rPr>
          <w:color w:val="auto"/>
        </w:rPr>
        <w:t xml:space="preserve"> </w:t>
      </w:r>
      <w:r w:rsidR="001B1267" w:rsidRPr="006410A4">
        <w:rPr>
          <w:color w:val="auto"/>
        </w:rPr>
        <w:t>however, the low property values means that the actual development value of the land is negative as demonstrated by the viability work and confirmed in the Montagu Evans Best Consideration report.</w:t>
      </w:r>
      <w:r w:rsidR="002E0273" w:rsidRPr="006410A4" w:rsidDel="002E0273">
        <w:rPr>
          <w:color w:val="auto"/>
        </w:rPr>
        <w:t xml:space="preserve"> </w:t>
      </w:r>
    </w:p>
    <w:p w14:paraId="6D1009AF" w14:textId="77777777" w:rsidR="00752394" w:rsidRPr="00752394" w:rsidRDefault="00752394" w:rsidP="002F21E3">
      <w:pPr>
        <w:pStyle w:val="ListParagraph"/>
        <w:numPr>
          <w:ilvl w:val="0"/>
          <w:numId w:val="9"/>
        </w:numPr>
        <w:tabs>
          <w:tab w:val="left" w:pos="567"/>
        </w:tabs>
        <w:ind w:left="567" w:right="367" w:hanging="425"/>
        <w:jc w:val="both"/>
        <w:rPr>
          <w:color w:val="auto"/>
        </w:rPr>
      </w:pPr>
      <w:r w:rsidRPr="00752394">
        <w:rPr>
          <w:color w:val="auto"/>
        </w:rPr>
        <w:t>In addition to the disposal of land disposals of Housing Revenue Account (HRA) property out of the Council's ownership, whether on a freehold or a leasehold basis, require consent under Section 32 of the Housing Act 1985 (the 1985 Act). The current General Consents are 'The General Housing Consents 2013', issued in March of that year (with a Correction in July).  General Consent A3.1 allows a local authority to dispose of the freehold of 'Part II' (i.e. HRA) land upon which dwellings exist, to a third party, at market value.</w:t>
      </w:r>
    </w:p>
    <w:p w14:paraId="1B5081C7" w14:textId="77777777" w:rsidR="00752394" w:rsidRPr="00752394" w:rsidRDefault="00752394" w:rsidP="002F21E3">
      <w:pPr>
        <w:pStyle w:val="ListParagraph"/>
        <w:numPr>
          <w:ilvl w:val="0"/>
          <w:numId w:val="9"/>
        </w:numPr>
        <w:tabs>
          <w:tab w:val="left" w:pos="567"/>
        </w:tabs>
        <w:ind w:left="567" w:right="367" w:hanging="425"/>
        <w:jc w:val="both"/>
        <w:rPr>
          <w:color w:val="auto"/>
        </w:rPr>
      </w:pPr>
      <w:r w:rsidRPr="00752394">
        <w:rPr>
          <w:color w:val="auto"/>
        </w:rPr>
        <w:t xml:space="preserve">In order to demonstrate compliance with General Consent A3.1 when the Council reflects the disposal of the HRA assets from its accounting records a consideration equal to the then market value in the form of a capital receipt from the third party purchaser will be paid to the Council. </w:t>
      </w:r>
    </w:p>
    <w:p w14:paraId="7A8F64DD" w14:textId="77777777" w:rsidR="00752394" w:rsidRPr="00752394" w:rsidRDefault="00752394" w:rsidP="002F21E3">
      <w:pPr>
        <w:pStyle w:val="ListParagraph"/>
        <w:numPr>
          <w:ilvl w:val="0"/>
          <w:numId w:val="9"/>
        </w:numPr>
        <w:tabs>
          <w:tab w:val="left" w:pos="567"/>
        </w:tabs>
        <w:ind w:left="567" w:right="367" w:hanging="425"/>
        <w:jc w:val="both"/>
        <w:rPr>
          <w:color w:val="auto"/>
        </w:rPr>
      </w:pPr>
      <w:r w:rsidRPr="00752394">
        <w:rPr>
          <w:color w:val="auto"/>
        </w:rPr>
        <w:t>The above payment will be received by the Council on the prior agreement that the capital receipt, being classed as “Other Housing Receipts” will not be subject to pooling and instead can be immediately recycled in full back to the third party, via the Council’s GF capital programme, in pursuance of regeneration and affordable housing activities that for example the Blackbird Leys Scheme is clearly associated with delivering for the wider benefit of the Council.</w:t>
      </w:r>
    </w:p>
    <w:p w14:paraId="23F0BA91" w14:textId="320903A0" w:rsidR="00752394" w:rsidRPr="00572321" w:rsidRDefault="00752394" w:rsidP="00752394">
      <w:pPr>
        <w:pStyle w:val="ListParagraph"/>
        <w:numPr>
          <w:ilvl w:val="0"/>
          <w:numId w:val="9"/>
        </w:numPr>
        <w:tabs>
          <w:tab w:val="clear" w:pos="426"/>
          <w:tab w:val="left" w:pos="567"/>
        </w:tabs>
        <w:ind w:left="567" w:right="367" w:hanging="425"/>
        <w:jc w:val="both"/>
        <w:rPr>
          <w:color w:val="auto"/>
        </w:rPr>
      </w:pPr>
      <w:r w:rsidRPr="00752394">
        <w:rPr>
          <w:color w:val="auto"/>
        </w:rPr>
        <w:t>In overall terms the Montagu Evans Best Consideration Report confirms that the Council is obtaining best consideration (in terms of s123 of the Local Government Act 1972) in relation to the disposal of the site generally.  Whilst the 1972 Act regime is separate from that under the 1985 Act, there is a rea</w:t>
      </w:r>
      <w:r w:rsidRPr="00572321">
        <w:rPr>
          <w:color w:val="auto"/>
        </w:rPr>
        <w:t>d-across in broad valuation terms.  Given that Montagu Evans have confirmed that best consideration is being obtained, and subject to the above receipt being received by the Council in respect of the disposed HRA assets on the site that will immediately be recycled back to the third party, it is therefore demonstrated that the Council is indeed disposing of its HRA land at “market value” as required by the 1985 Act.</w:t>
      </w:r>
    </w:p>
    <w:p w14:paraId="621FF9D3" w14:textId="376E5614" w:rsidR="003246DB" w:rsidRPr="006410A4" w:rsidRDefault="00F86334" w:rsidP="00117E91">
      <w:pPr>
        <w:pStyle w:val="ListParagraph"/>
        <w:numPr>
          <w:ilvl w:val="0"/>
          <w:numId w:val="9"/>
        </w:numPr>
        <w:tabs>
          <w:tab w:val="clear" w:pos="426"/>
          <w:tab w:val="left" w:pos="567"/>
        </w:tabs>
        <w:ind w:left="567" w:right="367" w:hanging="425"/>
        <w:jc w:val="both"/>
        <w:rPr>
          <w:color w:val="auto"/>
        </w:rPr>
      </w:pPr>
      <w:r>
        <w:rPr>
          <w:color w:val="auto"/>
        </w:rPr>
        <w:t xml:space="preserve">It should be noted that </w:t>
      </w:r>
      <w:r w:rsidR="00DE4E97" w:rsidRPr="006410A4">
        <w:rPr>
          <w:color w:val="auto"/>
        </w:rPr>
        <w:t>CHL</w:t>
      </w:r>
      <w:r>
        <w:rPr>
          <w:color w:val="auto"/>
        </w:rPr>
        <w:t xml:space="preserve"> Financial Model</w:t>
      </w:r>
      <w:r w:rsidR="00DE4E97" w:rsidRPr="006410A4">
        <w:rPr>
          <w:color w:val="auto"/>
        </w:rPr>
        <w:t xml:space="preserve"> </w:t>
      </w:r>
      <w:r w:rsidR="000D1F49" w:rsidRPr="006410A4">
        <w:rPr>
          <w:color w:val="auto"/>
        </w:rPr>
        <w:t>include</w:t>
      </w:r>
      <w:r w:rsidR="00834EB5">
        <w:rPr>
          <w:color w:val="auto"/>
        </w:rPr>
        <w:t>s</w:t>
      </w:r>
      <w:r w:rsidR="000D1F49" w:rsidRPr="006410A4">
        <w:rPr>
          <w:color w:val="auto"/>
        </w:rPr>
        <w:t xml:space="preserve"> </w:t>
      </w:r>
      <w:r w:rsidR="00DE4E97" w:rsidRPr="006410A4">
        <w:rPr>
          <w:color w:val="auto"/>
        </w:rPr>
        <w:t xml:space="preserve">assumptions on </w:t>
      </w:r>
      <w:r w:rsidR="003246DB" w:rsidRPr="006410A4">
        <w:rPr>
          <w:color w:val="auto"/>
        </w:rPr>
        <w:t>Housing Grant</w:t>
      </w:r>
      <w:r w:rsidR="000D1F49" w:rsidRPr="006410A4">
        <w:rPr>
          <w:color w:val="auto"/>
        </w:rPr>
        <w:t xml:space="preserve"> approximating £13.4</w:t>
      </w:r>
      <w:r w:rsidR="00465096">
        <w:rPr>
          <w:color w:val="auto"/>
        </w:rPr>
        <w:t xml:space="preserve"> </w:t>
      </w:r>
      <w:r w:rsidR="000D1F49" w:rsidRPr="006410A4">
        <w:rPr>
          <w:color w:val="auto"/>
        </w:rPr>
        <w:t>m</w:t>
      </w:r>
      <w:r w:rsidR="00465096">
        <w:rPr>
          <w:color w:val="auto"/>
        </w:rPr>
        <w:t>illion</w:t>
      </w:r>
      <w:r w:rsidR="000D1F49" w:rsidRPr="006410A4">
        <w:rPr>
          <w:color w:val="auto"/>
        </w:rPr>
        <w:t xml:space="preserve">. The rates </w:t>
      </w:r>
      <w:r w:rsidR="00EB6A12" w:rsidRPr="006410A4">
        <w:rPr>
          <w:color w:val="auto"/>
        </w:rPr>
        <w:t>are not</w:t>
      </w:r>
      <w:r w:rsidR="00BE535E" w:rsidRPr="006410A4">
        <w:rPr>
          <w:color w:val="auto"/>
        </w:rPr>
        <w:t xml:space="preserve"> approved </w:t>
      </w:r>
      <w:r w:rsidR="000D1F49" w:rsidRPr="006410A4">
        <w:rPr>
          <w:color w:val="auto"/>
        </w:rPr>
        <w:t xml:space="preserve">and </w:t>
      </w:r>
      <w:r w:rsidR="00EB6A12" w:rsidRPr="006410A4">
        <w:rPr>
          <w:color w:val="auto"/>
        </w:rPr>
        <w:t>are dependent</w:t>
      </w:r>
      <w:r w:rsidR="000D1F49" w:rsidRPr="006410A4">
        <w:rPr>
          <w:color w:val="auto"/>
        </w:rPr>
        <w:t xml:space="preserve"> on future levels </w:t>
      </w:r>
      <w:r w:rsidR="00EB6A12" w:rsidRPr="006410A4">
        <w:rPr>
          <w:color w:val="auto"/>
        </w:rPr>
        <w:t>of</w:t>
      </w:r>
      <w:r w:rsidR="000D1F49" w:rsidRPr="006410A4">
        <w:rPr>
          <w:color w:val="auto"/>
        </w:rPr>
        <w:t xml:space="preserve"> H</w:t>
      </w:r>
      <w:r w:rsidR="00DE4E97" w:rsidRPr="006410A4">
        <w:rPr>
          <w:color w:val="auto"/>
        </w:rPr>
        <w:t>omes England</w:t>
      </w:r>
      <w:r w:rsidR="000D1F49" w:rsidRPr="006410A4">
        <w:rPr>
          <w:color w:val="auto"/>
        </w:rPr>
        <w:t xml:space="preserve"> grant</w:t>
      </w:r>
      <w:r w:rsidR="00DE4E97" w:rsidRPr="006410A4">
        <w:rPr>
          <w:color w:val="auto"/>
        </w:rPr>
        <w:t xml:space="preserve">, which have not yet been set. However, they </w:t>
      </w:r>
      <w:r w:rsidR="000D1F49" w:rsidRPr="006410A4">
        <w:rPr>
          <w:color w:val="auto"/>
        </w:rPr>
        <w:t xml:space="preserve">are </w:t>
      </w:r>
      <w:r w:rsidR="00BE535E" w:rsidRPr="006410A4">
        <w:rPr>
          <w:color w:val="auto"/>
        </w:rPr>
        <w:t>base</w:t>
      </w:r>
      <w:r w:rsidR="003246DB" w:rsidRPr="006410A4">
        <w:rPr>
          <w:color w:val="auto"/>
        </w:rPr>
        <w:t>d</w:t>
      </w:r>
      <w:r w:rsidR="00BE535E" w:rsidRPr="006410A4">
        <w:rPr>
          <w:color w:val="auto"/>
        </w:rPr>
        <w:t xml:space="preserve"> </w:t>
      </w:r>
      <w:r w:rsidR="003246DB" w:rsidRPr="006410A4">
        <w:rPr>
          <w:color w:val="auto"/>
        </w:rPr>
        <w:t>on rates</w:t>
      </w:r>
      <w:r w:rsidR="000D1F49" w:rsidRPr="006410A4">
        <w:rPr>
          <w:color w:val="auto"/>
        </w:rPr>
        <w:t xml:space="preserve"> achieved by </w:t>
      </w:r>
      <w:r w:rsidR="00DE4E97" w:rsidRPr="006410A4">
        <w:rPr>
          <w:color w:val="auto"/>
        </w:rPr>
        <w:t xml:space="preserve">CHL </w:t>
      </w:r>
      <w:r w:rsidR="000D1F49" w:rsidRPr="006410A4">
        <w:rPr>
          <w:color w:val="auto"/>
        </w:rPr>
        <w:t>elsewhere</w:t>
      </w:r>
      <w:r w:rsidR="00EB6A12" w:rsidRPr="006410A4">
        <w:rPr>
          <w:color w:val="auto"/>
        </w:rPr>
        <w:t xml:space="preserve"> in Oxford</w:t>
      </w:r>
      <w:r w:rsidR="000D1F49" w:rsidRPr="006410A4">
        <w:rPr>
          <w:color w:val="auto"/>
        </w:rPr>
        <w:t xml:space="preserve">. </w:t>
      </w:r>
      <w:r w:rsidR="00DE4E97" w:rsidRPr="006410A4">
        <w:rPr>
          <w:color w:val="auto"/>
        </w:rPr>
        <w:t xml:space="preserve">CHL </w:t>
      </w:r>
      <w:r w:rsidR="000D1F49" w:rsidRPr="006410A4">
        <w:rPr>
          <w:color w:val="auto"/>
        </w:rPr>
        <w:t xml:space="preserve">has </w:t>
      </w:r>
      <w:r w:rsidR="00EB6A12" w:rsidRPr="006410A4">
        <w:rPr>
          <w:color w:val="auto"/>
        </w:rPr>
        <w:t>included</w:t>
      </w:r>
      <w:r w:rsidR="000D1F49" w:rsidRPr="006410A4">
        <w:rPr>
          <w:color w:val="auto"/>
        </w:rPr>
        <w:t xml:space="preserve"> their own contribution subsidy </w:t>
      </w:r>
      <w:r w:rsidR="006410A4">
        <w:rPr>
          <w:color w:val="auto"/>
        </w:rPr>
        <w:t>which is detailed in the Confidential Financial Report Appendix 3</w:t>
      </w:r>
    </w:p>
    <w:p w14:paraId="77F0D1AA" w14:textId="68051618" w:rsidR="00F86334" w:rsidRDefault="00F86334" w:rsidP="00F86334">
      <w:pPr>
        <w:pStyle w:val="ListParagraph"/>
        <w:numPr>
          <w:ilvl w:val="0"/>
          <w:numId w:val="9"/>
        </w:numPr>
        <w:tabs>
          <w:tab w:val="clear" w:pos="426"/>
          <w:tab w:val="left" w:pos="567"/>
        </w:tabs>
        <w:ind w:left="567" w:right="367" w:hanging="425"/>
        <w:jc w:val="both"/>
      </w:pPr>
      <w:r>
        <w:t>As noted earlier in the report,</w:t>
      </w:r>
      <w:r w:rsidR="00834EB5">
        <w:t xml:space="preserve"> </w:t>
      </w:r>
      <w:r>
        <w:t xml:space="preserve">the Development Agreement requires two further viability tests. The Gateway Two viability test is prior to submission of the planning application and the Gateway Three viability test will follow the planning decision. These tests will allow for any scheme changes that might affect viability, alongside any changes or firming up of assumptions, including around costs, values or housing grant rates. </w:t>
      </w:r>
    </w:p>
    <w:p w14:paraId="6CA86A08" w14:textId="77777777" w:rsidR="00F86334" w:rsidRDefault="00F86334" w:rsidP="00F86334">
      <w:pPr>
        <w:pStyle w:val="ListParagraph"/>
        <w:numPr>
          <w:ilvl w:val="0"/>
          <w:numId w:val="9"/>
        </w:numPr>
        <w:tabs>
          <w:tab w:val="clear" w:pos="426"/>
          <w:tab w:val="left" w:pos="567"/>
        </w:tabs>
        <w:ind w:left="567" w:right="367" w:hanging="425"/>
        <w:jc w:val="both"/>
      </w:pPr>
      <w:r>
        <w:lastRenderedPageBreak/>
        <w:t xml:space="preserve">Following Gateway Three, the costs and values will be fixed, including the level of subsidy to CHL. This will then enable OCC to grant a lease of the land to CHL and for the building work to begin. </w:t>
      </w:r>
    </w:p>
    <w:p w14:paraId="13F897BD" w14:textId="6ED8AD05" w:rsidR="00F86334" w:rsidRDefault="00F86334" w:rsidP="00F86334">
      <w:pPr>
        <w:pStyle w:val="ListParagraph"/>
        <w:numPr>
          <w:ilvl w:val="0"/>
          <w:numId w:val="9"/>
        </w:numPr>
        <w:tabs>
          <w:tab w:val="clear" w:pos="426"/>
          <w:tab w:val="left" w:pos="567"/>
        </w:tabs>
        <w:ind w:left="567" w:right="367" w:hanging="425"/>
        <w:jc w:val="both"/>
      </w:pPr>
      <w:r>
        <w:t>Should assumptions change during Stage Two and scheme viability not be achieved, both parties have an option to exit the scheme. OCC would then be liable to a 50% share of the professional fees, which are budgeted at a total of £1.9</w:t>
      </w:r>
      <w:r w:rsidR="00F37445">
        <w:t xml:space="preserve">88 </w:t>
      </w:r>
      <w:r>
        <w:t>m</w:t>
      </w:r>
      <w:r w:rsidR="00F37445">
        <w:t>illion</w:t>
      </w:r>
      <w:r>
        <w:t>. Th</w:t>
      </w:r>
      <w:r w:rsidR="00F37445">
        <w:t>ese</w:t>
      </w:r>
      <w:r>
        <w:t xml:space="preserve"> costs will initially be incurred by CHL to produce the detailed design. Therefore, entering into Stage Two commits OCC to the possible risk of abortive fees of £994K. After the Stage Two viability is achieved OCC’s liability for the share of fees is removed.</w:t>
      </w:r>
    </w:p>
    <w:p w14:paraId="5B055DEA" w14:textId="42E1F79D" w:rsidR="00F86334" w:rsidRDefault="00F86334" w:rsidP="00F86334">
      <w:pPr>
        <w:pStyle w:val="ListParagraph"/>
        <w:numPr>
          <w:ilvl w:val="0"/>
          <w:numId w:val="9"/>
        </w:numPr>
        <w:tabs>
          <w:tab w:val="clear" w:pos="426"/>
          <w:tab w:val="left" w:pos="567"/>
        </w:tabs>
        <w:ind w:left="567" w:right="367" w:hanging="425"/>
        <w:jc w:val="both"/>
        <w:rPr>
          <w:color w:val="auto"/>
        </w:rPr>
      </w:pPr>
      <w:r>
        <w:t xml:space="preserve">This potential cost liability is in addition to costs OCC will need to incur during Stage Two for staff costs, professional advice and meeting its obligations with the Development Agreement. These are estimated to be around £297K. </w:t>
      </w:r>
    </w:p>
    <w:p w14:paraId="7FBFF8E0" w14:textId="702DFE57" w:rsidR="00725D38" w:rsidRDefault="008270BB" w:rsidP="00A97BA1">
      <w:pPr>
        <w:pStyle w:val="ListParagraph"/>
        <w:numPr>
          <w:ilvl w:val="0"/>
          <w:numId w:val="9"/>
        </w:numPr>
        <w:tabs>
          <w:tab w:val="clear" w:pos="426"/>
          <w:tab w:val="left" w:pos="567"/>
        </w:tabs>
        <w:ind w:left="567" w:right="367" w:hanging="425"/>
        <w:jc w:val="both"/>
        <w:rPr>
          <w:color w:val="auto"/>
        </w:rPr>
      </w:pPr>
      <w:r>
        <w:rPr>
          <w:color w:val="auto"/>
        </w:rPr>
        <w:t>Montagu Evans has carried out a viability report into the CHL proposals as</w:t>
      </w:r>
      <w:r w:rsidR="00725D38">
        <w:rPr>
          <w:color w:val="auto"/>
        </w:rPr>
        <w:t xml:space="preserve"> part of the due diligence work. </w:t>
      </w:r>
      <w:r w:rsidR="009F11D1">
        <w:rPr>
          <w:color w:val="auto"/>
        </w:rPr>
        <w:t>The</w:t>
      </w:r>
      <w:r w:rsidR="002D2778">
        <w:rPr>
          <w:color w:val="auto"/>
        </w:rPr>
        <w:t>ir</w:t>
      </w:r>
      <w:r w:rsidR="00725D38">
        <w:rPr>
          <w:color w:val="auto"/>
        </w:rPr>
        <w:t xml:space="preserve"> sensitivity analysis </w:t>
      </w:r>
      <w:r w:rsidR="00461F76">
        <w:rPr>
          <w:color w:val="auto"/>
        </w:rPr>
        <w:t xml:space="preserve">table </w:t>
      </w:r>
      <w:r w:rsidR="009F11D1">
        <w:rPr>
          <w:color w:val="auto"/>
        </w:rPr>
        <w:t xml:space="preserve">below </w:t>
      </w:r>
      <w:r w:rsidR="009F11D1" w:rsidRPr="008270BB">
        <w:rPr>
          <w:color w:val="auto"/>
        </w:rPr>
        <w:t>show</w:t>
      </w:r>
      <w:r w:rsidR="009F11D1">
        <w:rPr>
          <w:color w:val="auto"/>
        </w:rPr>
        <w:t>s</w:t>
      </w:r>
      <w:r w:rsidR="00107A9E">
        <w:rPr>
          <w:color w:val="auto"/>
        </w:rPr>
        <w:t xml:space="preserve"> </w:t>
      </w:r>
      <w:r w:rsidRPr="008270BB">
        <w:rPr>
          <w:color w:val="auto"/>
        </w:rPr>
        <w:t>the impact of incremental changes of 5% to sales revenue (open market and shared ownership) and construction costs (all uses/tenures)</w:t>
      </w:r>
      <w:r w:rsidR="00725D38">
        <w:rPr>
          <w:color w:val="auto"/>
        </w:rPr>
        <w:t xml:space="preserve"> to the current deficit.</w:t>
      </w:r>
      <w:r w:rsidR="009F11D1">
        <w:rPr>
          <w:color w:val="auto"/>
        </w:rPr>
        <w:t xml:space="preserve"> </w:t>
      </w:r>
      <w:r w:rsidR="009D23C2">
        <w:rPr>
          <w:color w:val="auto"/>
        </w:rPr>
        <w:t xml:space="preserve">The current CHL deficit prior to </w:t>
      </w:r>
      <w:r w:rsidR="002D2778">
        <w:rPr>
          <w:color w:val="auto"/>
        </w:rPr>
        <w:t xml:space="preserve">inclusion of </w:t>
      </w:r>
      <w:r w:rsidR="009D23C2">
        <w:rPr>
          <w:color w:val="auto"/>
        </w:rPr>
        <w:t xml:space="preserve">OCC </w:t>
      </w:r>
      <w:r w:rsidR="002D2778">
        <w:rPr>
          <w:color w:val="auto"/>
        </w:rPr>
        <w:t xml:space="preserve">costs and </w:t>
      </w:r>
      <w:r w:rsidR="009D23C2">
        <w:rPr>
          <w:color w:val="auto"/>
        </w:rPr>
        <w:t>funding is approximately 12.7</w:t>
      </w:r>
      <w:r w:rsidR="00F37445">
        <w:rPr>
          <w:color w:val="auto"/>
        </w:rPr>
        <w:t xml:space="preserve"> </w:t>
      </w:r>
      <w:r w:rsidR="009D23C2">
        <w:rPr>
          <w:color w:val="auto"/>
        </w:rPr>
        <w:t>m</w:t>
      </w:r>
      <w:r w:rsidR="00F37445">
        <w:rPr>
          <w:color w:val="auto"/>
        </w:rPr>
        <w:t>illion</w:t>
      </w:r>
      <w:r w:rsidR="004F2648">
        <w:rPr>
          <w:color w:val="auto"/>
        </w:rPr>
        <w:t>. The table shows how</w:t>
      </w:r>
      <w:r w:rsidR="009D23C2">
        <w:rPr>
          <w:color w:val="auto"/>
        </w:rPr>
        <w:t xml:space="preserve"> for example</w:t>
      </w:r>
      <w:r w:rsidR="00A34115">
        <w:rPr>
          <w:color w:val="auto"/>
        </w:rPr>
        <w:t>, an</w:t>
      </w:r>
      <w:r w:rsidR="009F11D1">
        <w:rPr>
          <w:color w:val="auto"/>
        </w:rPr>
        <w:t xml:space="preserve"> increase in construction cost of 10% and a reduction of sales values of 5% has the potential to increase the deficit by c</w:t>
      </w:r>
      <w:proofErr w:type="gramStart"/>
      <w:r w:rsidR="00A34115">
        <w:rPr>
          <w:color w:val="auto"/>
        </w:rPr>
        <w:t>.£</w:t>
      </w:r>
      <w:proofErr w:type="gramEnd"/>
      <w:r w:rsidR="009F11D1">
        <w:rPr>
          <w:color w:val="auto"/>
        </w:rPr>
        <w:t>10</w:t>
      </w:r>
      <w:r w:rsidR="009D23C2">
        <w:rPr>
          <w:color w:val="auto"/>
        </w:rPr>
        <w:t>.3</w:t>
      </w:r>
      <w:r w:rsidR="00465096">
        <w:rPr>
          <w:color w:val="auto"/>
        </w:rPr>
        <w:t xml:space="preserve"> </w:t>
      </w:r>
      <w:r w:rsidR="009F11D1">
        <w:rPr>
          <w:color w:val="auto"/>
        </w:rPr>
        <w:t>m</w:t>
      </w:r>
      <w:r w:rsidR="00465096">
        <w:rPr>
          <w:color w:val="auto"/>
        </w:rPr>
        <w:t>illion</w:t>
      </w:r>
      <w:r w:rsidR="009F11D1">
        <w:rPr>
          <w:color w:val="auto"/>
        </w:rPr>
        <w:t xml:space="preserve">. </w:t>
      </w:r>
    </w:p>
    <w:tbl>
      <w:tblPr>
        <w:tblW w:w="0" w:type="auto"/>
        <w:tblInd w:w="137" w:type="dxa"/>
        <w:tblLook w:val="04A0" w:firstRow="1" w:lastRow="0" w:firstColumn="1" w:lastColumn="0" w:noHBand="0" w:noVBand="1"/>
      </w:tblPr>
      <w:tblGrid>
        <w:gridCol w:w="2803"/>
        <w:gridCol w:w="1450"/>
        <w:gridCol w:w="1134"/>
        <w:gridCol w:w="1134"/>
        <w:gridCol w:w="1134"/>
        <w:gridCol w:w="1235"/>
      </w:tblGrid>
      <w:tr w:rsidR="006410A4" w:rsidRPr="006410A4" w14:paraId="34666C9E" w14:textId="77777777" w:rsidTr="006410A4">
        <w:trPr>
          <w:trHeight w:val="310"/>
        </w:trPr>
        <w:tc>
          <w:tcPr>
            <w:tcW w:w="889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EE34A5" w14:textId="77777777" w:rsidR="006410A4" w:rsidRPr="006410A4" w:rsidRDefault="006410A4" w:rsidP="006410A4">
            <w:pPr>
              <w:spacing w:after="0"/>
              <w:jc w:val="center"/>
              <w:rPr>
                <w:rFonts w:cs="Arial"/>
                <w:b/>
                <w:bCs/>
              </w:rPr>
            </w:pPr>
            <w:r w:rsidRPr="006410A4">
              <w:rPr>
                <w:rFonts w:cs="Arial"/>
                <w:b/>
                <w:bCs/>
              </w:rPr>
              <w:t>Surplus/Deficit (-</w:t>
            </w:r>
            <w:proofErr w:type="spellStart"/>
            <w:r w:rsidRPr="006410A4">
              <w:rPr>
                <w:rFonts w:cs="Arial"/>
                <w:b/>
                <w:bCs/>
              </w:rPr>
              <w:t>ve</w:t>
            </w:r>
            <w:proofErr w:type="spellEnd"/>
            <w:r w:rsidRPr="006410A4">
              <w:rPr>
                <w:rFonts w:cs="Arial"/>
                <w:b/>
                <w:bCs/>
              </w:rPr>
              <w:t>) £m</w:t>
            </w:r>
          </w:p>
        </w:tc>
      </w:tr>
      <w:tr w:rsidR="006410A4" w:rsidRPr="006410A4" w14:paraId="182F244C" w14:textId="77777777" w:rsidTr="006410A4">
        <w:trPr>
          <w:trHeight w:val="310"/>
        </w:trPr>
        <w:tc>
          <w:tcPr>
            <w:tcW w:w="2803" w:type="dxa"/>
            <w:tcBorders>
              <w:top w:val="nil"/>
              <w:left w:val="single" w:sz="4" w:space="0" w:color="auto"/>
              <w:bottom w:val="single" w:sz="4" w:space="0" w:color="auto"/>
              <w:right w:val="single" w:sz="4" w:space="0" w:color="auto"/>
            </w:tcBorders>
            <w:shd w:val="clear" w:color="000000" w:fill="D9D9D9"/>
            <w:noWrap/>
            <w:hideMark/>
          </w:tcPr>
          <w:p w14:paraId="5861B899" w14:textId="77777777" w:rsidR="006410A4" w:rsidRPr="006410A4" w:rsidRDefault="006410A4" w:rsidP="006410A4">
            <w:pPr>
              <w:spacing w:after="0"/>
              <w:rPr>
                <w:rFonts w:cs="Arial"/>
                <w:b/>
                <w:bCs/>
                <w:color w:val="4B4B4B"/>
              </w:rPr>
            </w:pPr>
            <w:r w:rsidRPr="006410A4">
              <w:rPr>
                <w:rFonts w:cs="Arial"/>
                <w:b/>
                <w:bCs/>
                <w:color w:val="4B4B4B"/>
              </w:rPr>
              <w:t> </w:t>
            </w:r>
          </w:p>
        </w:tc>
        <w:tc>
          <w:tcPr>
            <w:tcW w:w="6087"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37F39F32" w14:textId="77777777" w:rsidR="006410A4" w:rsidRPr="006410A4" w:rsidRDefault="006410A4" w:rsidP="006410A4">
            <w:pPr>
              <w:spacing w:after="0"/>
              <w:jc w:val="center"/>
              <w:rPr>
                <w:rFonts w:cs="Arial"/>
                <w:b/>
                <w:bCs/>
                <w:color w:val="4B4B4B"/>
              </w:rPr>
            </w:pPr>
            <w:r w:rsidRPr="006410A4">
              <w:rPr>
                <w:rFonts w:cs="Arial"/>
                <w:b/>
                <w:bCs/>
                <w:color w:val="4B4B4B"/>
              </w:rPr>
              <w:t>Sales: Rate /m²</w:t>
            </w:r>
          </w:p>
        </w:tc>
      </w:tr>
      <w:tr w:rsidR="006410A4" w:rsidRPr="006410A4" w14:paraId="67ACB4C2" w14:textId="77777777" w:rsidTr="006410A4">
        <w:trPr>
          <w:trHeight w:val="310"/>
        </w:trPr>
        <w:tc>
          <w:tcPr>
            <w:tcW w:w="2803" w:type="dxa"/>
            <w:tcBorders>
              <w:top w:val="nil"/>
              <w:left w:val="single" w:sz="4" w:space="0" w:color="auto"/>
              <w:bottom w:val="single" w:sz="4" w:space="0" w:color="auto"/>
              <w:right w:val="single" w:sz="4" w:space="0" w:color="auto"/>
            </w:tcBorders>
            <w:shd w:val="clear" w:color="000000" w:fill="D9D9D9"/>
            <w:noWrap/>
            <w:vAlign w:val="center"/>
            <w:hideMark/>
          </w:tcPr>
          <w:p w14:paraId="639036FF" w14:textId="77777777" w:rsidR="006410A4" w:rsidRPr="006410A4" w:rsidRDefault="006410A4" w:rsidP="006410A4">
            <w:pPr>
              <w:spacing w:after="0"/>
              <w:jc w:val="right"/>
              <w:rPr>
                <w:rFonts w:cs="Arial"/>
                <w:b/>
                <w:bCs/>
                <w:color w:val="4B4B4B"/>
              </w:rPr>
            </w:pPr>
            <w:r w:rsidRPr="006410A4">
              <w:rPr>
                <w:rFonts w:cs="Arial"/>
                <w:b/>
                <w:bCs/>
                <w:color w:val="4B4B4B"/>
              </w:rPr>
              <w:t xml:space="preserve">Construction: Rate /m² </w:t>
            </w:r>
          </w:p>
        </w:tc>
        <w:tc>
          <w:tcPr>
            <w:tcW w:w="1450" w:type="dxa"/>
            <w:tcBorders>
              <w:top w:val="nil"/>
              <w:left w:val="nil"/>
              <w:bottom w:val="single" w:sz="4" w:space="0" w:color="auto"/>
              <w:right w:val="single" w:sz="4" w:space="0" w:color="auto"/>
            </w:tcBorders>
            <w:shd w:val="clear" w:color="000000" w:fill="D9D9D9"/>
            <w:noWrap/>
            <w:vAlign w:val="center"/>
            <w:hideMark/>
          </w:tcPr>
          <w:p w14:paraId="2E9AC81A" w14:textId="77777777" w:rsidR="006410A4" w:rsidRPr="006410A4" w:rsidRDefault="006410A4" w:rsidP="006410A4">
            <w:pPr>
              <w:spacing w:after="0"/>
              <w:jc w:val="right"/>
              <w:rPr>
                <w:rFonts w:cs="Arial"/>
                <w:b/>
                <w:bCs/>
                <w:color w:val="4B4B4B"/>
              </w:rPr>
            </w:pPr>
            <w:r w:rsidRPr="006410A4">
              <w:rPr>
                <w:rFonts w:cs="Arial"/>
                <w:b/>
                <w:bCs/>
                <w:color w:val="4B4B4B"/>
              </w:rPr>
              <w:t>-10%</w:t>
            </w:r>
          </w:p>
        </w:tc>
        <w:tc>
          <w:tcPr>
            <w:tcW w:w="1134" w:type="dxa"/>
            <w:tcBorders>
              <w:top w:val="nil"/>
              <w:left w:val="nil"/>
              <w:bottom w:val="single" w:sz="4" w:space="0" w:color="auto"/>
              <w:right w:val="single" w:sz="4" w:space="0" w:color="auto"/>
            </w:tcBorders>
            <w:shd w:val="clear" w:color="000000" w:fill="D9D9D9"/>
            <w:noWrap/>
            <w:vAlign w:val="center"/>
            <w:hideMark/>
          </w:tcPr>
          <w:p w14:paraId="02FB63C4" w14:textId="77777777" w:rsidR="006410A4" w:rsidRPr="006410A4" w:rsidRDefault="006410A4" w:rsidP="006410A4">
            <w:pPr>
              <w:spacing w:after="0"/>
              <w:jc w:val="right"/>
              <w:rPr>
                <w:rFonts w:cs="Arial"/>
                <w:b/>
                <w:bCs/>
                <w:color w:val="4B4B4B"/>
              </w:rPr>
            </w:pPr>
            <w:r w:rsidRPr="006410A4">
              <w:rPr>
                <w:rFonts w:cs="Arial"/>
                <w:b/>
                <w:bCs/>
                <w:color w:val="4B4B4B"/>
              </w:rPr>
              <w:t>-5%</w:t>
            </w:r>
          </w:p>
        </w:tc>
        <w:tc>
          <w:tcPr>
            <w:tcW w:w="1134" w:type="dxa"/>
            <w:tcBorders>
              <w:top w:val="nil"/>
              <w:left w:val="nil"/>
              <w:bottom w:val="single" w:sz="4" w:space="0" w:color="auto"/>
              <w:right w:val="single" w:sz="4" w:space="0" w:color="auto"/>
            </w:tcBorders>
            <w:shd w:val="clear" w:color="000000" w:fill="D9D9D9"/>
            <w:noWrap/>
            <w:vAlign w:val="center"/>
            <w:hideMark/>
          </w:tcPr>
          <w:p w14:paraId="012F1346" w14:textId="77777777" w:rsidR="006410A4" w:rsidRPr="006410A4" w:rsidRDefault="006410A4" w:rsidP="006410A4">
            <w:pPr>
              <w:spacing w:after="0"/>
              <w:jc w:val="right"/>
              <w:rPr>
                <w:rFonts w:cs="Arial"/>
                <w:b/>
                <w:bCs/>
                <w:color w:val="4B4B4B"/>
              </w:rPr>
            </w:pPr>
            <w:r w:rsidRPr="006410A4">
              <w:rPr>
                <w:rFonts w:cs="Arial"/>
                <w:b/>
                <w:bCs/>
                <w:color w:val="4B4B4B"/>
              </w:rPr>
              <w:t>0%</w:t>
            </w:r>
          </w:p>
        </w:tc>
        <w:tc>
          <w:tcPr>
            <w:tcW w:w="1134" w:type="dxa"/>
            <w:tcBorders>
              <w:top w:val="nil"/>
              <w:left w:val="nil"/>
              <w:bottom w:val="single" w:sz="4" w:space="0" w:color="auto"/>
              <w:right w:val="single" w:sz="4" w:space="0" w:color="auto"/>
            </w:tcBorders>
            <w:shd w:val="clear" w:color="000000" w:fill="D9D9D9"/>
            <w:noWrap/>
            <w:vAlign w:val="center"/>
            <w:hideMark/>
          </w:tcPr>
          <w:p w14:paraId="06031956" w14:textId="77777777" w:rsidR="006410A4" w:rsidRPr="006410A4" w:rsidRDefault="006410A4" w:rsidP="006410A4">
            <w:pPr>
              <w:spacing w:after="0"/>
              <w:jc w:val="right"/>
              <w:rPr>
                <w:rFonts w:cs="Arial"/>
                <w:b/>
                <w:bCs/>
                <w:color w:val="4B4B4B"/>
              </w:rPr>
            </w:pPr>
            <w:r w:rsidRPr="006410A4">
              <w:rPr>
                <w:rFonts w:cs="Arial"/>
                <w:b/>
                <w:bCs/>
                <w:color w:val="4B4B4B"/>
              </w:rPr>
              <w:t>5%</w:t>
            </w:r>
          </w:p>
        </w:tc>
        <w:tc>
          <w:tcPr>
            <w:tcW w:w="1235" w:type="dxa"/>
            <w:tcBorders>
              <w:top w:val="nil"/>
              <w:left w:val="nil"/>
              <w:bottom w:val="single" w:sz="4" w:space="0" w:color="auto"/>
              <w:right w:val="single" w:sz="4" w:space="0" w:color="auto"/>
            </w:tcBorders>
            <w:shd w:val="clear" w:color="000000" w:fill="D9D9D9"/>
            <w:noWrap/>
            <w:vAlign w:val="center"/>
            <w:hideMark/>
          </w:tcPr>
          <w:p w14:paraId="3FEFA57E" w14:textId="77777777" w:rsidR="006410A4" w:rsidRPr="006410A4" w:rsidRDefault="006410A4" w:rsidP="006410A4">
            <w:pPr>
              <w:spacing w:after="0"/>
              <w:jc w:val="right"/>
              <w:rPr>
                <w:rFonts w:cs="Arial"/>
                <w:b/>
                <w:bCs/>
                <w:color w:val="4B4B4B"/>
              </w:rPr>
            </w:pPr>
            <w:r w:rsidRPr="006410A4">
              <w:rPr>
                <w:rFonts w:cs="Arial"/>
                <w:b/>
                <w:bCs/>
                <w:color w:val="4B4B4B"/>
              </w:rPr>
              <w:t>10%</w:t>
            </w:r>
          </w:p>
        </w:tc>
      </w:tr>
      <w:tr w:rsidR="006410A4" w:rsidRPr="006410A4" w14:paraId="398CAEB6" w14:textId="77777777" w:rsidTr="006410A4">
        <w:trPr>
          <w:trHeight w:val="310"/>
        </w:trPr>
        <w:tc>
          <w:tcPr>
            <w:tcW w:w="2803" w:type="dxa"/>
            <w:tcBorders>
              <w:top w:val="nil"/>
              <w:left w:val="single" w:sz="4" w:space="0" w:color="auto"/>
              <w:bottom w:val="single" w:sz="4" w:space="0" w:color="auto"/>
              <w:right w:val="single" w:sz="4" w:space="0" w:color="auto"/>
            </w:tcBorders>
            <w:shd w:val="clear" w:color="000000" w:fill="D9D9D9"/>
            <w:noWrap/>
            <w:vAlign w:val="center"/>
            <w:hideMark/>
          </w:tcPr>
          <w:p w14:paraId="679F6EA9" w14:textId="77777777" w:rsidR="006410A4" w:rsidRPr="006410A4" w:rsidRDefault="006410A4" w:rsidP="006410A4">
            <w:pPr>
              <w:spacing w:after="0"/>
              <w:jc w:val="right"/>
              <w:rPr>
                <w:rFonts w:cs="Arial"/>
                <w:b/>
                <w:bCs/>
                <w:color w:val="4B4B4B"/>
              </w:rPr>
            </w:pPr>
            <w:r w:rsidRPr="006410A4">
              <w:rPr>
                <w:rFonts w:cs="Arial"/>
                <w:b/>
                <w:bCs/>
                <w:color w:val="4B4B4B"/>
              </w:rPr>
              <w:t>-10%</w:t>
            </w:r>
          </w:p>
        </w:tc>
        <w:tc>
          <w:tcPr>
            <w:tcW w:w="1450" w:type="dxa"/>
            <w:tcBorders>
              <w:top w:val="nil"/>
              <w:left w:val="nil"/>
              <w:bottom w:val="single" w:sz="4" w:space="0" w:color="auto"/>
              <w:right w:val="single" w:sz="4" w:space="0" w:color="auto"/>
            </w:tcBorders>
            <w:shd w:val="clear" w:color="auto" w:fill="auto"/>
            <w:noWrap/>
            <w:vAlign w:val="center"/>
            <w:hideMark/>
          </w:tcPr>
          <w:p w14:paraId="6A6530B8" w14:textId="77777777" w:rsidR="006410A4" w:rsidRPr="006410A4" w:rsidRDefault="006410A4" w:rsidP="006410A4">
            <w:pPr>
              <w:spacing w:after="0"/>
              <w:jc w:val="right"/>
              <w:rPr>
                <w:rFonts w:cs="Arial"/>
                <w:color w:val="auto"/>
              </w:rPr>
            </w:pPr>
            <w:r w:rsidRPr="006410A4">
              <w:rPr>
                <w:rFonts w:cs="Arial"/>
                <w:color w:val="auto"/>
              </w:rPr>
              <w:t>-£8.75</w:t>
            </w:r>
          </w:p>
        </w:tc>
        <w:tc>
          <w:tcPr>
            <w:tcW w:w="1134" w:type="dxa"/>
            <w:tcBorders>
              <w:top w:val="nil"/>
              <w:left w:val="nil"/>
              <w:bottom w:val="single" w:sz="4" w:space="0" w:color="auto"/>
              <w:right w:val="single" w:sz="4" w:space="0" w:color="auto"/>
            </w:tcBorders>
            <w:shd w:val="clear" w:color="auto" w:fill="auto"/>
            <w:noWrap/>
            <w:vAlign w:val="center"/>
            <w:hideMark/>
          </w:tcPr>
          <w:p w14:paraId="470AEF31" w14:textId="77777777" w:rsidR="006410A4" w:rsidRPr="006410A4" w:rsidRDefault="006410A4" w:rsidP="006410A4">
            <w:pPr>
              <w:spacing w:after="0"/>
              <w:jc w:val="right"/>
              <w:rPr>
                <w:rFonts w:cs="Arial"/>
                <w:color w:val="auto"/>
              </w:rPr>
            </w:pPr>
            <w:r w:rsidRPr="006410A4">
              <w:rPr>
                <w:rFonts w:cs="Arial"/>
                <w:color w:val="auto"/>
              </w:rPr>
              <w:t>-£6.67</w:t>
            </w:r>
          </w:p>
        </w:tc>
        <w:tc>
          <w:tcPr>
            <w:tcW w:w="1134" w:type="dxa"/>
            <w:tcBorders>
              <w:top w:val="nil"/>
              <w:left w:val="nil"/>
              <w:bottom w:val="single" w:sz="4" w:space="0" w:color="auto"/>
              <w:right w:val="single" w:sz="4" w:space="0" w:color="auto"/>
            </w:tcBorders>
            <w:shd w:val="clear" w:color="auto" w:fill="auto"/>
            <w:noWrap/>
            <w:vAlign w:val="center"/>
            <w:hideMark/>
          </w:tcPr>
          <w:p w14:paraId="0986F74E" w14:textId="77777777" w:rsidR="006410A4" w:rsidRPr="006410A4" w:rsidRDefault="006410A4" w:rsidP="006410A4">
            <w:pPr>
              <w:spacing w:after="0"/>
              <w:jc w:val="right"/>
              <w:rPr>
                <w:rFonts w:cs="Arial"/>
                <w:color w:val="auto"/>
              </w:rPr>
            </w:pPr>
            <w:r w:rsidRPr="006410A4">
              <w:rPr>
                <w:rFonts w:cs="Arial"/>
                <w:color w:val="auto"/>
              </w:rPr>
              <w:t>-£4.59</w:t>
            </w:r>
          </w:p>
        </w:tc>
        <w:tc>
          <w:tcPr>
            <w:tcW w:w="1134" w:type="dxa"/>
            <w:tcBorders>
              <w:top w:val="nil"/>
              <w:left w:val="nil"/>
              <w:bottom w:val="single" w:sz="4" w:space="0" w:color="auto"/>
              <w:right w:val="single" w:sz="4" w:space="0" w:color="auto"/>
            </w:tcBorders>
            <w:shd w:val="clear" w:color="auto" w:fill="auto"/>
            <w:noWrap/>
            <w:vAlign w:val="center"/>
            <w:hideMark/>
          </w:tcPr>
          <w:p w14:paraId="19CA3046" w14:textId="77777777" w:rsidR="006410A4" w:rsidRPr="006410A4" w:rsidRDefault="006410A4" w:rsidP="006410A4">
            <w:pPr>
              <w:spacing w:after="0"/>
              <w:jc w:val="right"/>
              <w:rPr>
                <w:rFonts w:cs="Arial"/>
                <w:color w:val="auto"/>
              </w:rPr>
            </w:pPr>
            <w:r w:rsidRPr="006410A4">
              <w:rPr>
                <w:rFonts w:cs="Arial"/>
                <w:color w:val="auto"/>
              </w:rPr>
              <w:t>-£2.51</w:t>
            </w:r>
          </w:p>
        </w:tc>
        <w:tc>
          <w:tcPr>
            <w:tcW w:w="1235" w:type="dxa"/>
            <w:tcBorders>
              <w:top w:val="nil"/>
              <w:left w:val="nil"/>
              <w:bottom w:val="single" w:sz="4" w:space="0" w:color="auto"/>
              <w:right w:val="single" w:sz="4" w:space="0" w:color="auto"/>
            </w:tcBorders>
            <w:shd w:val="clear" w:color="auto" w:fill="auto"/>
            <w:noWrap/>
            <w:vAlign w:val="center"/>
            <w:hideMark/>
          </w:tcPr>
          <w:p w14:paraId="7CAAA519" w14:textId="77777777" w:rsidR="006410A4" w:rsidRPr="006410A4" w:rsidRDefault="006410A4" w:rsidP="006410A4">
            <w:pPr>
              <w:spacing w:after="0"/>
              <w:jc w:val="right"/>
              <w:rPr>
                <w:rFonts w:cs="Arial"/>
                <w:color w:val="auto"/>
              </w:rPr>
            </w:pPr>
            <w:r w:rsidRPr="006410A4">
              <w:rPr>
                <w:rFonts w:cs="Arial"/>
                <w:color w:val="auto"/>
              </w:rPr>
              <w:t>-£0.43</w:t>
            </w:r>
          </w:p>
        </w:tc>
      </w:tr>
      <w:tr w:rsidR="006410A4" w:rsidRPr="006410A4" w14:paraId="20417B78" w14:textId="77777777" w:rsidTr="006410A4">
        <w:trPr>
          <w:trHeight w:val="320"/>
        </w:trPr>
        <w:tc>
          <w:tcPr>
            <w:tcW w:w="2803" w:type="dxa"/>
            <w:tcBorders>
              <w:top w:val="nil"/>
              <w:left w:val="single" w:sz="4" w:space="0" w:color="auto"/>
              <w:bottom w:val="single" w:sz="4" w:space="0" w:color="auto"/>
              <w:right w:val="single" w:sz="4" w:space="0" w:color="auto"/>
            </w:tcBorders>
            <w:shd w:val="clear" w:color="000000" w:fill="D9D9D9"/>
            <w:noWrap/>
            <w:vAlign w:val="center"/>
            <w:hideMark/>
          </w:tcPr>
          <w:p w14:paraId="6517550E" w14:textId="77777777" w:rsidR="006410A4" w:rsidRPr="006410A4" w:rsidRDefault="006410A4" w:rsidP="006410A4">
            <w:pPr>
              <w:spacing w:after="0"/>
              <w:jc w:val="right"/>
              <w:rPr>
                <w:rFonts w:cs="Arial"/>
                <w:b/>
                <w:bCs/>
                <w:color w:val="4B4B4B"/>
              </w:rPr>
            </w:pPr>
            <w:r w:rsidRPr="006410A4">
              <w:rPr>
                <w:rFonts w:cs="Arial"/>
                <w:b/>
                <w:bCs/>
                <w:color w:val="4B4B4B"/>
              </w:rPr>
              <w:t>-5%</w:t>
            </w:r>
          </w:p>
        </w:tc>
        <w:tc>
          <w:tcPr>
            <w:tcW w:w="1450" w:type="dxa"/>
            <w:tcBorders>
              <w:top w:val="nil"/>
              <w:left w:val="nil"/>
              <w:bottom w:val="single" w:sz="4" w:space="0" w:color="auto"/>
              <w:right w:val="single" w:sz="4" w:space="0" w:color="auto"/>
            </w:tcBorders>
            <w:shd w:val="clear" w:color="auto" w:fill="auto"/>
            <w:noWrap/>
            <w:vAlign w:val="center"/>
            <w:hideMark/>
          </w:tcPr>
          <w:p w14:paraId="4B26EB3A" w14:textId="77777777" w:rsidR="006410A4" w:rsidRPr="006410A4" w:rsidRDefault="006410A4" w:rsidP="006410A4">
            <w:pPr>
              <w:spacing w:after="0"/>
              <w:jc w:val="right"/>
              <w:rPr>
                <w:rFonts w:cs="Arial"/>
                <w:color w:val="auto"/>
              </w:rPr>
            </w:pPr>
            <w:r w:rsidRPr="006410A4">
              <w:rPr>
                <w:rFonts w:cs="Arial"/>
                <w:color w:val="auto"/>
              </w:rPr>
              <w:t>-£12.85</w:t>
            </w:r>
          </w:p>
        </w:tc>
        <w:tc>
          <w:tcPr>
            <w:tcW w:w="1134" w:type="dxa"/>
            <w:tcBorders>
              <w:top w:val="nil"/>
              <w:left w:val="nil"/>
              <w:bottom w:val="single" w:sz="4" w:space="0" w:color="auto"/>
              <w:right w:val="single" w:sz="4" w:space="0" w:color="auto"/>
            </w:tcBorders>
            <w:shd w:val="clear" w:color="auto" w:fill="auto"/>
            <w:noWrap/>
            <w:vAlign w:val="center"/>
            <w:hideMark/>
          </w:tcPr>
          <w:p w14:paraId="2F1AF48D" w14:textId="77777777" w:rsidR="006410A4" w:rsidRPr="006410A4" w:rsidRDefault="006410A4" w:rsidP="006410A4">
            <w:pPr>
              <w:spacing w:after="0"/>
              <w:jc w:val="right"/>
              <w:rPr>
                <w:rFonts w:cs="Arial"/>
                <w:color w:val="auto"/>
              </w:rPr>
            </w:pPr>
            <w:r w:rsidRPr="006410A4">
              <w:rPr>
                <w:rFonts w:cs="Arial"/>
                <w:color w:val="auto"/>
              </w:rPr>
              <w:t>-£10.77</w:t>
            </w:r>
          </w:p>
        </w:tc>
        <w:tc>
          <w:tcPr>
            <w:tcW w:w="1134" w:type="dxa"/>
            <w:tcBorders>
              <w:top w:val="nil"/>
              <w:left w:val="nil"/>
              <w:bottom w:val="nil"/>
              <w:right w:val="single" w:sz="4" w:space="0" w:color="auto"/>
            </w:tcBorders>
            <w:shd w:val="clear" w:color="auto" w:fill="auto"/>
            <w:noWrap/>
            <w:vAlign w:val="center"/>
            <w:hideMark/>
          </w:tcPr>
          <w:p w14:paraId="38248EF4" w14:textId="77777777" w:rsidR="006410A4" w:rsidRPr="006410A4" w:rsidRDefault="006410A4" w:rsidP="006410A4">
            <w:pPr>
              <w:spacing w:after="0"/>
              <w:jc w:val="right"/>
              <w:rPr>
                <w:rFonts w:cs="Arial"/>
                <w:color w:val="auto"/>
              </w:rPr>
            </w:pPr>
            <w:r w:rsidRPr="006410A4">
              <w:rPr>
                <w:rFonts w:cs="Arial"/>
                <w:color w:val="auto"/>
              </w:rPr>
              <w:t>-£8.69</w:t>
            </w:r>
          </w:p>
        </w:tc>
        <w:tc>
          <w:tcPr>
            <w:tcW w:w="1134" w:type="dxa"/>
            <w:tcBorders>
              <w:top w:val="nil"/>
              <w:left w:val="nil"/>
              <w:bottom w:val="single" w:sz="4" w:space="0" w:color="auto"/>
              <w:right w:val="single" w:sz="4" w:space="0" w:color="auto"/>
            </w:tcBorders>
            <w:shd w:val="clear" w:color="auto" w:fill="auto"/>
            <w:noWrap/>
            <w:vAlign w:val="center"/>
            <w:hideMark/>
          </w:tcPr>
          <w:p w14:paraId="6D8CF649" w14:textId="77777777" w:rsidR="006410A4" w:rsidRPr="006410A4" w:rsidRDefault="006410A4" w:rsidP="006410A4">
            <w:pPr>
              <w:spacing w:after="0"/>
              <w:jc w:val="right"/>
              <w:rPr>
                <w:rFonts w:cs="Arial"/>
                <w:color w:val="auto"/>
              </w:rPr>
            </w:pPr>
            <w:r w:rsidRPr="006410A4">
              <w:rPr>
                <w:rFonts w:cs="Arial"/>
                <w:color w:val="auto"/>
              </w:rPr>
              <w:t>-£6.62</w:t>
            </w:r>
          </w:p>
        </w:tc>
        <w:tc>
          <w:tcPr>
            <w:tcW w:w="1235" w:type="dxa"/>
            <w:tcBorders>
              <w:top w:val="nil"/>
              <w:left w:val="nil"/>
              <w:bottom w:val="single" w:sz="4" w:space="0" w:color="auto"/>
              <w:right w:val="single" w:sz="4" w:space="0" w:color="auto"/>
            </w:tcBorders>
            <w:shd w:val="clear" w:color="auto" w:fill="auto"/>
            <w:noWrap/>
            <w:vAlign w:val="center"/>
            <w:hideMark/>
          </w:tcPr>
          <w:p w14:paraId="53D151F1" w14:textId="77777777" w:rsidR="006410A4" w:rsidRPr="006410A4" w:rsidRDefault="006410A4" w:rsidP="006410A4">
            <w:pPr>
              <w:spacing w:after="0"/>
              <w:jc w:val="right"/>
              <w:rPr>
                <w:rFonts w:cs="Arial"/>
                <w:color w:val="auto"/>
              </w:rPr>
            </w:pPr>
            <w:r w:rsidRPr="006410A4">
              <w:rPr>
                <w:rFonts w:cs="Arial"/>
                <w:color w:val="auto"/>
              </w:rPr>
              <w:t>-£4.54</w:t>
            </w:r>
          </w:p>
        </w:tc>
      </w:tr>
      <w:tr w:rsidR="006410A4" w:rsidRPr="006410A4" w14:paraId="206ABBF8" w14:textId="77777777" w:rsidTr="006410A4">
        <w:trPr>
          <w:trHeight w:val="330"/>
        </w:trPr>
        <w:tc>
          <w:tcPr>
            <w:tcW w:w="2803" w:type="dxa"/>
            <w:tcBorders>
              <w:top w:val="nil"/>
              <w:left w:val="single" w:sz="4" w:space="0" w:color="auto"/>
              <w:bottom w:val="single" w:sz="4" w:space="0" w:color="auto"/>
              <w:right w:val="single" w:sz="4" w:space="0" w:color="auto"/>
            </w:tcBorders>
            <w:shd w:val="clear" w:color="000000" w:fill="D9D9D9"/>
            <w:noWrap/>
            <w:vAlign w:val="center"/>
            <w:hideMark/>
          </w:tcPr>
          <w:p w14:paraId="0B2A7A2C" w14:textId="77777777" w:rsidR="006410A4" w:rsidRPr="006410A4" w:rsidRDefault="006410A4" w:rsidP="006410A4">
            <w:pPr>
              <w:spacing w:after="0"/>
              <w:jc w:val="right"/>
              <w:rPr>
                <w:rFonts w:cs="Arial"/>
                <w:b/>
                <w:bCs/>
                <w:color w:val="4B4B4B"/>
              </w:rPr>
            </w:pPr>
            <w:r w:rsidRPr="006410A4">
              <w:rPr>
                <w:rFonts w:cs="Arial"/>
                <w:b/>
                <w:bCs/>
                <w:color w:val="4B4B4B"/>
              </w:rPr>
              <w:t>0%</w:t>
            </w:r>
          </w:p>
        </w:tc>
        <w:tc>
          <w:tcPr>
            <w:tcW w:w="1450" w:type="dxa"/>
            <w:tcBorders>
              <w:top w:val="nil"/>
              <w:left w:val="nil"/>
              <w:bottom w:val="single" w:sz="4" w:space="0" w:color="auto"/>
              <w:right w:val="single" w:sz="4" w:space="0" w:color="auto"/>
            </w:tcBorders>
            <w:shd w:val="clear" w:color="auto" w:fill="auto"/>
            <w:noWrap/>
            <w:vAlign w:val="center"/>
            <w:hideMark/>
          </w:tcPr>
          <w:p w14:paraId="779D99B6" w14:textId="77777777" w:rsidR="006410A4" w:rsidRPr="006410A4" w:rsidRDefault="006410A4" w:rsidP="006410A4">
            <w:pPr>
              <w:spacing w:after="0"/>
              <w:jc w:val="right"/>
              <w:rPr>
                <w:rFonts w:cs="Arial"/>
                <w:color w:val="auto"/>
              </w:rPr>
            </w:pPr>
            <w:r w:rsidRPr="006410A4">
              <w:rPr>
                <w:rFonts w:cs="Arial"/>
                <w:color w:val="auto"/>
              </w:rPr>
              <w:t>-£16.95</w:t>
            </w:r>
          </w:p>
        </w:tc>
        <w:tc>
          <w:tcPr>
            <w:tcW w:w="1134" w:type="dxa"/>
            <w:tcBorders>
              <w:top w:val="nil"/>
              <w:left w:val="nil"/>
              <w:bottom w:val="single" w:sz="4" w:space="0" w:color="auto"/>
              <w:right w:val="nil"/>
            </w:tcBorders>
            <w:shd w:val="clear" w:color="auto" w:fill="auto"/>
            <w:noWrap/>
            <w:vAlign w:val="center"/>
            <w:hideMark/>
          </w:tcPr>
          <w:p w14:paraId="741ED001" w14:textId="77777777" w:rsidR="006410A4" w:rsidRPr="006410A4" w:rsidRDefault="006410A4" w:rsidP="006410A4">
            <w:pPr>
              <w:spacing w:after="0"/>
              <w:jc w:val="right"/>
              <w:rPr>
                <w:rFonts w:cs="Arial"/>
                <w:color w:val="auto"/>
              </w:rPr>
            </w:pPr>
            <w:r w:rsidRPr="006410A4">
              <w:rPr>
                <w:rFonts w:cs="Arial"/>
                <w:color w:val="auto"/>
              </w:rPr>
              <w:t>-£14.88</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14:paraId="5D1E9DFD" w14:textId="5E83393C" w:rsidR="006410A4" w:rsidRPr="006410A4" w:rsidRDefault="006410A4" w:rsidP="00AC6C59">
            <w:pPr>
              <w:spacing w:after="0"/>
              <w:jc w:val="right"/>
              <w:rPr>
                <w:rFonts w:cs="Arial"/>
                <w:b/>
                <w:bCs/>
                <w:color w:val="auto"/>
              </w:rPr>
            </w:pPr>
            <w:r w:rsidRPr="006410A4">
              <w:rPr>
                <w:rFonts w:cs="Arial"/>
                <w:b/>
                <w:bCs/>
                <w:color w:val="auto"/>
              </w:rPr>
              <w:t>-£12.</w:t>
            </w:r>
            <w:r w:rsidR="00AC6C59">
              <w:rPr>
                <w:rFonts w:cs="Arial"/>
                <w:b/>
                <w:bCs/>
                <w:color w:val="auto"/>
              </w:rPr>
              <w:t>72</w:t>
            </w:r>
          </w:p>
        </w:tc>
        <w:tc>
          <w:tcPr>
            <w:tcW w:w="1134" w:type="dxa"/>
            <w:tcBorders>
              <w:top w:val="nil"/>
              <w:left w:val="nil"/>
              <w:bottom w:val="single" w:sz="4" w:space="0" w:color="auto"/>
              <w:right w:val="single" w:sz="4" w:space="0" w:color="auto"/>
            </w:tcBorders>
            <w:shd w:val="clear" w:color="auto" w:fill="auto"/>
            <w:noWrap/>
            <w:vAlign w:val="center"/>
            <w:hideMark/>
          </w:tcPr>
          <w:p w14:paraId="7A9FD4D7" w14:textId="77777777" w:rsidR="006410A4" w:rsidRPr="006410A4" w:rsidRDefault="006410A4" w:rsidP="006410A4">
            <w:pPr>
              <w:spacing w:after="0"/>
              <w:jc w:val="right"/>
              <w:rPr>
                <w:rFonts w:cs="Arial"/>
                <w:color w:val="auto"/>
              </w:rPr>
            </w:pPr>
            <w:r w:rsidRPr="006410A4">
              <w:rPr>
                <w:rFonts w:cs="Arial"/>
                <w:color w:val="auto"/>
              </w:rPr>
              <w:t>-£10.72</w:t>
            </w:r>
          </w:p>
        </w:tc>
        <w:tc>
          <w:tcPr>
            <w:tcW w:w="1235" w:type="dxa"/>
            <w:tcBorders>
              <w:top w:val="nil"/>
              <w:left w:val="nil"/>
              <w:bottom w:val="single" w:sz="4" w:space="0" w:color="auto"/>
              <w:right w:val="single" w:sz="4" w:space="0" w:color="auto"/>
            </w:tcBorders>
            <w:shd w:val="clear" w:color="auto" w:fill="auto"/>
            <w:noWrap/>
            <w:vAlign w:val="center"/>
            <w:hideMark/>
          </w:tcPr>
          <w:p w14:paraId="60B52574" w14:textId="77777777" w:rsidR="006410A4" w:rsidRPr="006410A4" w:rsidRDefault="006410A4" w:rsidP="006410A4">
            <w:pPr>
              <w:spacing w:after="0"/>
              <w:jc w:val="right"/>
              <w:rPr>
                <w:rFonts w:cs="Arial"/>
                <w:color w:val="auto"/>
              </w:rPr>
            </w:pPr>
            <w:r w:rsidRPr="006410A4">
              <w:rPr>
                <w:rFonts w:cs="Arial"/>
                <w:color w:val="auto"/>
              </w:rPr>
              <w:t>-£8.64</w:t>
            </w:r>
          </w:p>
        </w:tc>
      </w:tr>
      <w:tr w:rsidR="006410A4" w:rsidRPr="006410A4" w14:paraId="42D0EB9E" w14:textId="77777777" w:rsidTr="006410A4">
        <w:trPr>
          <w:trHeight w:val="320"/>
        </w:trPr>
        <w:tc>
          <w:tcPr>
            <w:tcW w:w="2803" w:type="dxa"/>
            <w:tcBorders>
              <w:top w:val="nil"/>
              <w:left w:val="single" w:sz="4" w:space="0" w:color="auto"/>
              <w:bottom w:val="single" w:sz="4" w:space="0" w:color="auto"/>
              <w:right w:val="single" w:sz="4" w:space="0" w:color="auto"/>
            </w:tcBorders>
            <w:shd w:val="clear" w:color="000000" w:fill="D9D9D9"/>
            <w:noWrap/>
            <w:vAlign w:val="center"/>
            <w:hideMark/>
          </w:tcPr>
          <w:p w14:paraId="39B9D0FE" w14:textId="77777777" w:rsidR="006410A4" w:rsidRPr="006410A4" w:rsidRDefault="006410A4" w:rsidP="006410A4">
            <w:pPr>
              <w:spacing w:after="0"/>
              <w:jc w:val="right"/>
              <w:rPr>
                <w:rFonts w:cs="Arial"/>
                <w:b/>
                <w:bCs/>
                <w:color w:val="4B4B4B"/>
              </w:rPr>
            </w:pPr>
            <w:r w:rsidRPr="006410A4">
              <w:rPr>
                <w:rFonts w:cs="Arial"/>
                <w:b/>
                <w:bCs/>
                <w:color w:val="4B4B4B"/>
              </w:rPr>
              <w:t>5%</w:t>
            </w:r>
          </w:p>
        </w:tc>
        <w:tc>
          <w:tcPr>
            <w:tcW w:w="1450" w:type="dxa"/>
            <w:tcBorders>
              <w:top w:val="nil"/>
              <w:left w:val="nil"/>
              <w:bottom w:val="single" w:sz="4" w:space="0" w:color="auto"/>
              <w:right w:val="single" w:sz="4" w:space="0" w:color="auto"/>
            </w:tcBorders>
            <w:shd w:val="clear" w:color="auto" w:fill="auto"/>
            <w:noWrap/>
            <w:vAlign w:val="center"/>
            <w:hideMark/>
          </w:tcPr>
          <w:p w14:paraId="28936715" w14:textId="77777777" w:rsidR="006410A4" w:rsidRPr="006410A4" w:rsidRDefault="006410A4" w:rsidP="006410A4">
            <w:pPr>
              <w:spacing w:after="0"/>
              <w:jc w:val="right"/>
              <w:rPr>
                <w:rFonts w:cs="Arial"/>
                <w:color w:val="auto"/>
              </w:rPr>
            </w:pPr>
            <w:r w:rsidRPr="006410A4">
              <w:rPr>
                <w:rFonts w:cs="Arial"/>
                <w:color w:val="auto"/>
              </w:rPr>
              <w:t>-£21.06</w:t>
            </w:r>
          </w:p>
        </w:tc>
        <w:tc>
          <w:tcPr>
            <w:tcW w:w="1134" w:type="dxa"/>
            <w:tcBorders>
              <w:top w:val="nil"/>
              <w:left w:val="nil"/>
              <w:bottom w:val="single" w:sz="4" w:space="0" w:color="auto"/>
              <w:right w:val="single" w:sz="4" w:space="0" w:color="auto"/>
            </w:tcBorders>
            <w:shd w:val="clear" w:color="auto" w:fill="auto"/>
            <w:noWrap/>
            <w:vAlign w:val="center"/>
            <w:hideMark/>
          </w:tcPr>
          <w:p w14:paraId="39E65D0E" w14:textId="77777777" w:rsidR="006410A4" w:rsidRPr="006410A4" w:rsidRDefault="006410A4" w:rsidP="006410A4">
            <w:pPr>
              <w:spacing w:after="0"/>
              <w:jc w:val="right"/>
              <w:rPr>
                <w:rFonts w:cs="Arial"/>
                <w:color w:val="auto"/>
              </w:rPr>
            </w:pPr>
            <w:r w:rsidRPr="006410A4">
              <w:rPr>
                <w:rFonts w:cs="Arial"/>
                <w:color w:val="auto"/>
              </w:rPr>
              <w:t>-£18.98</w:t>
            </w:r>
          </w:p>
        </w:tc>
        <w:tc>
          <w:tcPr>
            <w:tcW w:w="1134" w:type="dxa"/>
            <w:tcBorders>
              <w:top w:val="nil"/>
              <w:left w:val="nil"/>
              <w:bottom w:val="single" w:sz="4" w:space="0" w:color="auto"/>
              <w:right w:val="single" w:sz="4" w:space="0" w:color="auto"/>
            </w:tcBorders>
            <w:shd w:val="clear" w:color="auto" w:fill="auto"/>
            <w:noWrap/>
            <w:vAlign w:val="center"/>
            <w:hideMark/>
          </w:tcPr>
          <w:p w14:paraId="558CC66A" w14:textId="77777777" w:rsidR="006410A4" w:rsidRPr="006410A4" w:rsidRDefault="006410A4" w:rsidP="006410A4">
            <w:pPr>
              <w:spacing w:after="0"/>
              <w:jc w:val="right"/>
              <w:rPr>
                <w:rFonts w:cs="Arial"/>
                <w:color w:val="auto"/>
              </w:rPr>
            </w:pPr>
            <w:r w:rsidRPr="006410A4">
              <w:rPr>
                <w:rFonts w:cs="Arial"/>
                <w:color w:val="auto"/>
              </w:rPr>
              <w:t>-£16.90</w:t>
            </w:r>
          </w:p>
        </w:tc>
        <w:tc>
          <w:tcPr>
            <w:tcW w:w="1134" w:type="dxa"/>
            <w:tcBorders>
              <w:top w:val="nil"/>
              <w:left w:val="nil"/>
              <w:bottom w:val="single" w:sz="4" w:space="0" w:color="auto"/>
              <w:right w:val="single" w:sz="4" w:space="0" w:color="auto"/>
            </w:tcBorders>
            <w:shd w:val="clear" w:color="auto" w:fill="auto"/>
            <w:noWrap/>
            <w:vAlign w:val="center"/>
            <w:hideMark/>
          </w:tcPr>
          <w:p w14:paraId="14A4B2AB" w14:textId="77777777" w:rsidR="006410A4" w:rsidRPr="006410A4" w:rsidRDefault="006410A4" w:rsidP="006410A4">
            <w:pPr>
              <w:spacing w:after="0"/>
              <w:jc w:val="right"/>
              <w:rPr>
                <w:rFonts w:cs="Arial"/>
                <w:color w:val="auto"/>
              </w:rPr>
            </w:pPr>
            <w:r w:rsidRPr="006410A4">
              <w:rPr>
                <w:rFonts w:cs="Arial"/>
                <w:color w:val="auto"/>
              </w:rPr>
              <w:t>-£14.82</w:t>
            </w:r>
          </w:p>
        </w:tc>
        <w:tc>
          <w:tcPr>
            <w:tcW w:w="1235" w:type="dxa"/>
            <w:tcBorders>
              <w:top w:val="nil"/>
              <w:left w:val="nil"/>
              <w:bottom w:val="single" w:sz="4" w:space="0" w:color="auto"/>
              <w:right w:val="single" w:sz="4" w:space="0" w:color="auto"/>
            </w:tcBorders>
            <w:shd w:val="clear" w:color="auto" w:fill="auto"/>
            <w:noWrap/>
            <w:vAlign w:val="center"/>
            <w:hideMark/>
          </w:tcPr>
          <w:p w14:paraId="0D66FBA7" w14:textId="77777777" w:rsidR="006410A4" w:rsidRPr="006410A4" w:rsidRDefault="006410A4" w:rsidP="006410A4">
            <w:pPr>
              <w:spacing w:after="0"/>
              <w:jc w:val="right"/>
              <w:rPr>
                <w:rFonts w:cs="Arial"/>
                <w:color w:val="auto"/>
              </w:rPr>
            </w:pPr>
            <w:r w:rsidRPr="006410A4">
              <w:rPr>
                <w:rFonts w:cs="Arial"/>
                <w:color w:val="auto"/>
              </w:rPr>
              <w:t>-£12.74</w:t>
            </w:r>
          </w:p>
        </w:tc>
      </w:tr>
      <w:tr w:rsidR="006410A4" w:rsidRPr="006410A4" w14:paraId="798B02E6" w14:textId="77777777" w:rsidTr="006410A4">
        <w:trPr>
          <w:trHeight w:val="310"/>
        </w:trPr>
        <w:tc>
          <w:tcPr>
            <w:tcW w:w="2803" w:type="dxa"/>
            <w:tcBorders>
              <w:top w:val="nil"/>
              <w:left w:val="single" w:sz="4" w:space="0" w:color="auto"/>
              <w:bottom w:val="single" w:sz="4" w:space="0" w:color="auto"/>
              <w:right w:val="single" w:sz="4" w:space="0" w:color="auto"/>
            </w:tcBorders>
            <w:shd w:val="clear" w:color="000000" w:fill="D9D9D9"/>
            <w:noWrap/>
            <w:vAlign w:val="center"/>
            <w:hideMark/>
          </w:tcPr>
          <w:p w14:paraId="63EBDDD8" w14:textId="77777777" w:rsidR="006410A4" w:rsidRPr="006410A4" w:rsidRDefault="006410A4" w:rsidP="006410A4">
            <w:pPr>
              <w:spacing w:after="0"/>
              <w:jc w:val="right"/>
              <w:rPr>
                <w:rFonts w:cs="Arial"/>
                <w:b/>
                <w:bCs/>
                <w:color w:val="4B4B4B"/>
              </w:rPr>
            </w:pPr>
            <w:r w:rsidRPr="006410A4">
              <w:rPr>
                <w:rFonts w:cs="Arial"/>
                <w:b/>
                <w:bCs/>
                <w:color w:val="4B4B4B"/>
              </w:rPr>
              <w:t>10%</w:t>
            </w:r>
          </w:p>
        </w:tc>
        <w:tc>
          <w:tcPr>
            <w:tcW w:w="1450" w:type="dxa"/>
            <w:tcBorders>
              <w:top w:val="nil"/>
              <w:left w:val="nil"/>
              <w:bottom w:val="single" w:sz="4" w:space="0" w:color="auto"/>
              <w:right w:val="single" w:sz="4" w:space="0" w:color="auto"/>
            </w:tcBorders>
            <w:shd w:val="clear" w:color="auto" w:fill="auto"/>
            <w:noWrap/>
            <w:vAlign w:val="center"/>
            <w:hideMark/>
          </w:tcPr>
          <w:p w14:paraId="6AAA9250" w14:textId="77777777" w:rsidR="006410A4" w:rsidRPr="006410A4" w:rsidRDefault="006410A4" w:rsidP="006410A4">
            <w:pPr>
              <w:spacing w:after="0"/>
              <w:jc w:val="right"/>
              <w:rPr>
                <w:rFonts w:cs="Arial"/>
                <w:color w:val="auto"/>
              </w:rPr>
            </w:pPr>
            <w:r w:rsidRPr="006410A4">
              <w:rPr>
                <w:rFonts w:cs="Arial"/>
                <w:color w:val="auto"/>
              </w:rPr>
              <w:t>-£25.16</w:t>
            </w:r>
          </w:p>
        </w:tc>
        <w:tc>
          <w:tcPr>
            <w:tcW w:w="1134" w:type="dxa"/>
            <w:tcBorders>
              <w:top w:val="nil"/>
              <w:left w:val="nil"/>
              <w:bottom w:val="single" w:sz="4" w:space="0" w:color="auto"/>
              <w:right w:val="single" w:sz="4" w:space="0" w:color="auto"/>
            </w:tcBorders>
            <w:shd w:val="clear" w:color="auto" w:fill="auto"/>
            <w:noWrap/>
            <w:vAlign w:val="center"/>
            <w:hideMark/>
          </w:tcPr>
          <w:p w14:paraId="2CBC0804" w14:textId="77777777" w:rsidR="006410A4" w:rsidRPr="006410A4" w:rsidRDefault="006410A4" w:rsidP="006410A4">
            <w:pPr>
              <w:spacing w:after="0"/>
              <w:jc w:val="right"/>
              <w:rPr>
                <w:rFonts w:cs="Arial"/>
                <w:color w:val="auto"/>
              </w:rPr>
            </w:pPr>
            <w:r w:rsidRPr="006410A4">
              <w:rPr>
                <w:rFonts w:cs="Arial"/>
                <w:color w:val="auto"/>
              </w:rPr>
              <w:t>-£23.08</w:t>
            </w:r>
          </w:p>
        </w:tc>
        <w:tc>
          <w:tcPr>
            <w:tcW w:w="1134" w:type="dxa"/>
            <w:tcBorders>
              <w:top w:val="nil"/>
              <w:left w:val="nil"/>
              <w:bottom w:val="single" w:sz="4" w:space="0" w:color="auto"/>
              <w:right w:val="single" w:sz="4" w:space="0" w:color="auto"/>
            </w:tcBorders>
            <w:shd w:val="clear" w:color="auto" w:fill="auto"/>
            <w:noWrap/>
            <w:vAlign w:val="center"/>
            <w:hideMark/>
          </w:tcPr>
          <w:p w14:paraId="448C4C15" w14:textId="77777777" w:rsidR="006410A4" w:rsidRPr="006410A4" w:rsidRDefault="006410A4" w:rsidP="006410A4">
            <w:pPr>
              <w:spacing w:after="0"/>
              <w:jc w:val="right"/>
              <w:rPr>
                <w:rFonts w:cs="Arial"/>
                <w:color w:val="auto"/>
              </w:rPr>
            </w:pPr>
            <w:r w:rsidRPr="006410A4">
              <w:rPr>
                <w:rFonts w:cs="Arial"/>
                <w:color w:val="auto"/>
              </w:rPr>
              <w:t>-£21.00</w:t>
            </w:r>
          </w:p>
        </w:tc>
        <w:tc>
          <w:tcPr>
            <w:tcW w:w="1134" w:type="dxa"/>
            <w:tcBorders>
              <w:top w:val="nil"/>
              <w:left w:val="nil"/>
              <w:bottom w:val="single" w:sz="4" w:space="0" w:color="auto"/>
              <w:right w:val="single" w:sz="4" w:space="0" w:color="auto"/>
            </w:tcBorders>
            <w:shd w:val="clear" w:color="auto" w:fill="auto"/>
            <w:noWrap/>
            <w:vAlign w:val="center"/>
            <w:hideMark/>
          </w:tcPr>
          <w:p w14:paraId="554F982C" w14:textId="77777777" w:rsidR="006410A4" w:rsidRPr="006410A4" w:rsidRDefault="006410A4" w:rsidP="006410A4">
            <w:pPr>
              <w:spacing w:after="0"/>
              <w:jc w:val="right"/>
              <w:rPr>
                <w:rFonts w:cs="Arial"/>
                <w:color w:val="auto"/>
              </w:rPr>
            </w:pPr>
            <w:r w:rsidRPr="006410A4">
              <w:rPr>
                <w:rFonts w:cs="Arial"/>
                <w:color w:val="auto"/>
              </w:rPr>
              <w:t>-£18.93</w:t>
            </w:r>
          </w:p>
        </w:tc>
        <w:tc>
          <w:tcPr>
            <w:tcW w:w="1235" w:type="dxa"/>
            <w:tcBorders>
              <w:top w:val="nil"/>
              <w:left w:val="nil"/>
              <w:bottom w:val="single" w:sz="4" w:space="0" w:color="auto"/>
              <w:right w:val="single" w:sz="4" w:space="0" w:color="auto"/>
            </w:tcBorders>
            <w:shd w:val="clear" w:color="auto" w:fill="auto"/>
            <w:noWrap/>
            <w:vAlign w:val="center"/>
            <w:hideMark/>
          </w:tcPr>
          <w:p w14:paraId="698DA1F4" w14:textId="77777777" w:rsidR="006410A4" w:rsidRPr="006410A4" w:rsidRDefault="006410A4" w:rsidP="006410A4">
            <w:pPr>
              <w:spacing w:after="0"/>
              <w:jc w:val="right"/>
              <w:rPr>
                <w:rFonts w:cs="Arial"/>
                <w:color w:val="auto"/>
              </w:rPr>
            </w:pPr>
            <w:r w:rsidRPr="006410A4">
              <w:rPr>
                <w:rFonts w:cs="Arial"/>
                <w:color w:val="auto"/>
              </w:rPr>
              <w:t>-£16.85</w:t>
            </w:r>
          </w:p>
        </w:tc>
      </w:tr>
    </w:tbl>
    <w:p w14:paraId="32E3F6AB" w14:textId="77777777" w:rsidR="006410A4" w:rsidRDefault="006410A4" w:rsidP="00C0667D">
      <w:pPr>
        <w:pStyle w:val="ListParagraph"/>
        <w:numPr>
          <w:ilvl w:val="0"/>
          <w:numId w:val="0"/>
        </w:numPr>
        <w:tabs>
          <w:tab w:val="clear" w:pos="426"/>
          <w:tab w:val="left" w:pos="567"/>
        </w:tabs>
        <w:ind w:left="567" w:right="367"/>
        <w:jc w:val="both"/>
      </w:pPr>
    </w:p>
    <w:p w14:paraId="6A00AC9F" w14:textId="3DB085FF" w:rsidR="00F86334" w:rsidRDefault="00F86334" w:rsidP="00834EB5">
      <w:pPr>
        <w:pStyle w:val="ListParagraph"/>
        <w:numPr>
          <w:ilvl w:val="0"/>
          <w:numId w:val="9"/>
        </w:numPr>
        <w:tabs>
          <w:tab w:val="clear" w:pos="426"/>
          <w:tab w:val="left" w:pos="567"/>
        </w:tabs>
        <w:ind w:left="567" w:right="367" w:hanging="425"/>
        <w:jc w:val="both"/>
      </w:pPr>
      <w:r>
        <w:rPr>
          <w:color w:val="auto"/>
        </w:rPr>
        <w:t>The Stage Two detailed design work will include regular reviews of both costs and values. Should the proposals deviate from the budget mitigation steps will be required including measures to enhance values and to improve the efficiency of the proposals.</w:t>
      </w:r>
    </w:p>
    <w:p w14:paraId="0A8E0EC8" w14:textId="77777777" w:rsidR="00D42B5D" w:rsidRDefault="00D42B5D" w:rsidP="00317C40">
      <w:pPr>
        <w:tabs>
          <w:tab w:val="left" w:pos="567"/>
        </w:tabs>
        <w:ind w:left="142" w:right="367"/>
        <w:jc w:val="both"/>
        <w:rPr>
          <w:b/>
        </w:rPr>
      </w:pPr>
      <w:r w:rsidRPr="00D42B5D">
        <w:rPr>
          <w:b/>
        </w:rPr>
        <w:t>Legal Issues</w:t>
      </w:r>
    </w:p>
    <w:p w14:paraId="7AF97078" w14:textId="1790C9AE" w:rsidR="00610FFC" w:rsidRDefault="00610FFC" w:rsidP="00610FFC">
      <w:pPr>
        <w:pStyle w:val="ListParagraph"/>
        <w:numPr>
          <w:ilvl w:val="0"/>
          <w:numId w:val="9"/>
        </w:numPr>
        <w:tabs>
          <w:tab w:val="clear" w:pos="426"/>
          <w:tab w:val="left" w:pos="567"/>
        </w:tabs>
        <w:ind w:left="567" w:right="367" w:hanging="425"/>
        <w:jc w:val="both"/>
      </w:pPr>
      <w:r>
        <w:t>In undertaking the  Blackbird Leys Estate Regeneration project  the Council is relying on Section 1 of the Localism Act 2011 (the Act), which provides a general power of competence to “</w:t>
      </w:r>
      <w:r w:rsidRPr="00610FFC">
        <w:rPr>
          <w:i/>
        </w:rPr>
        <w:t>do anything that individuals generally may do</w:t>
      </w:r>
      <w:r>
        <w:t>“.  Section 1 of the Act is however qualified by Section 4(2), which states that “</w:t>
      </w:r>
      <w:r w:rsidRPr="00610FFC">
        <w:rPr>
          <w:i/>
        </w:rPr>
        <w:t>where, in exercise of the general power, a local authority does things for a commercial purpose, the authority must do them through a company</w:t>
      </w:r>
      <w:r>
        <w:rPr>
          <w:i/>
        </w:rPr>
        <w:t>”</w:t>
      </w:r>
    </w:p>
    <w:p w14:paraId="06D9D2D8" w14:textId="2895D68E" w:rsidR="009E072F" w:rsidRDefault="00610FFC" w:rsidP="00610FFC">
      <w:pPr>
        <w:pStyle w:val="ListParagraph"/>
        <w:numPr>
          <w:ilvl w:val="0"/>
          <w:numId w:val="9"/>
        </w:numPr>
        <w:tabs>
          <w:tab w:val="clear" w:pos="426"/>
          <w:tab w:val="left" w:pos="567"/>
        </w:tabs>
        <w:ind w:left="567" w:right="367" w:hanging="425"/>
        <w:jc w:val="both"/>
      </w:pPr>
      <w:r>
        <w:t xml:space="preserve">The Council is not acting for a commercial purpose as the objective of the Blackbird Leys Estate Regeneration project is for the achievement of housing, employment and growth or regeneration objectives.  To the extent if any that the Council achieves any return it will be in order to further its primary non-commercial purposes. </w:t>
      </w:r>
      <w:r w:rsidR="009E072F">
        <w:t xml:space="preserve">The Development Agreement </w:t>
      </w:r>
      <w:r w:rsidR="009E072F" w:rsidRPr="000D1F49">
        <w:t xml:space="preserve">Benchmark Financial </w:t>
      </w:r>
      <w:r w:rsidR="009E072F" w:rsidRPr="000D1F49">
        <w:lastRenderedPageBreak/>
        <w:t xml:space="preserve">Assumptions </w:t>
      </w:r>
      <w:r w:rsidR="00C52069">
        <w:t xml:space="preserve">set out in the original Catalyst bid </w:t>
      </w:r>
      <w:r w:rsidR="009E072F" w:rsidRPr="000D1F49">
        <w:t>including: finance costs, development management fee, overheads and gross profit margin</w:t>
      </w:r>
      <w:r w:rsidR="009E072F">
        <w:t xml:space="preserve"> are complied with in the current Viability.</w:t>
      </w:r>
    </w:p>
    <w:p w14:paraId="6D7A672E" w14:textId="77777777" w:rsidR="002D1607" w:rsidRDefault="002D1607" w:rsidP="005C0EDF">
      <w:pPr>
        <w:pStyle w:val="ListParagraph"/>
        <w:numPr>
          <w:ilvl w:val="0"/>
          <w:numId w:val="9"/>
        </w:numPr>
        <w:tabs>
          <w:tab w:val="clear" w:pos="426"/>
          <w:tab w:val="left" w:pos="567"/>
        </w:tabs>
        <w:ind w:left="567" w:right="367" w:hanging="425"/>
        <w:jc w:val="both"/>
      </w:pPr>
      <w:r>
        <w:t>This project will be centred on sites within the City Council’s freehold ownership. Pinsent Mason LLP, the Council’s external legal advisers have undertaken a high level review of Title and raised no critical issues to date. A full title search has been commissioned</w:t>
      </w:r>
      <w:r w:rsidR="00E22CFF">
        <w:t xml:space="preserve"> and will be completed in time to inform the delegated decision to move to Stage Two of the Development </w:t>
      </w:r>
      <w:r w:rsidR="009D52D7">
        <w:t>Agreement.</w:t>
      </w:r>
    </w:p>
    <w:p w14:paraId="0BD55131" w14:textId="77777777" w:rsidR="00D42B5D" w:rsidRDefault="002D1607" w:rsidP="005C0EDF">
      <w:pPr>
        <w:pStyle w:val="ListParagraph"/>
        <w:numPr>
          <w:ilvl w:val="0"/>
          <w:numId w:val="9"/>
        </w:numPr>
        <w:tabs>
          <w:tab w:val="clear" w:pos="426"/>
          <w:tab w:val="left" w:pos="567"/>
        </w:tabs>
        <w:ind w:left="567" w:right="367" w:hanging="425"/>
        <w:jc w:val="both"/>
      </w:pPr>
      <w:r>
        <w:t xml:space="preserve">Vacant Possession </w:t>
      </w:r>
      <w:r w:rsidR="00C52069">
        <w:t xml:space="preserve">of Council sites </w:t>
      </w:r>
      <w:r>
        <w:t xml:space="preserve">is a requirement of the Development Agreement. A draft </w:t>
      </w:r>
      <w:r w:rsidR="00505A77">
        <w:t>strategy</w:t>
      </w:r>
      <w:r>
        <w:t xml:space="preserve"> has been agreed as part of </w:t>
      </w:r>
      <w:r w:rsidR="00C52069">
        <w:t>the</w:t>
      </w:r>
      <w:r>
        <w:t xml:space="preserve"> Stage One Gateway. The council has proposed the appointment of external </w:t>
      </w:r>
      <w:r w:rsidR="00EB6A12">
        <w:t>consultants</w:t>
      </w:r>
      <w:r>
        <w:t xml:space="preserve"> to manage the V</w:t>
      </w:r>
      <w:r w:rsidR="00E22CFF">
        <w:t>acant Possession</w:t>
      </w:r>
      <w:r>
        <w:t xml:space="preserve"> strategy</w:t>
      </w:r>
      <w:r w:rsidR="00E22CFF">
        <w:t>.</w:t>
      </w:r>
    </w:p>
    <w:p w14:paraId="1198737C" w14:textId="77777777" w:rsidR="00386ABF" w:rsidRPr="00C0667D" w:rsidRDefault="00856E1B" w:rsidP="00C0667D">
      <w:pPr>
        <w:pStyle w:val="ListParagraph"/>
        <w:numPr>
          <w:ilvl w:val="0"/>
          <w:numId w:val="9"/>
        </w:numPr>
        <w:tabs>
          <w:tab w:val="clear" w:pos="426"/>
          <w:tab w:val="left" w:pos="567"/>
        </w:tabs>
        <w:ind w:left="567" w:right="367" w:hanging="425"/>
        <w:jc w:val="both"/>
        <w:rPr>
          <w:i/>
        </w:rPr>
      </w:pPr>
      <w:r w:rsidRPr="00386ABF">
        <w:t>Montagu Evans was instructed to assess whether the current stage “land pricing” from the Partner, taking due account of the terms of the Development Agreement (“DA”), represents ‘best consideration’ as per Section 123 Local Government Act 1972.</w:t>
      </w:r>
    </w:p>
    <w:p w14:paraId="209315BE" w14:textId="77777777" w:rsidR="00856E1B" w:rsidRPr="006D2874" w:rsidRDefault="00856E1B" w:rsidP="00C0667D">
      <w:pPr>
        <w:pStyle w:val="ListParagraph"/>
        <w:numPr>
          <w:ilvl w:val="0"/>
          <w:numId w:val="9"/>
        </w:numPr>
        <w:tabs>
          <w:tab w:val="clear" w:pos="426"/>
          <w:tab w:val="left" w:pos="567"/>
        </w:tabs>
        <w:ind w:left="567" w:right="367" w:hanging="425"/>
        <w:jc w:val="both"/>
        <w:rPr>
          <w:i/>
        </w:rPr>
      </w:pPr>
      <w:r w:rsidRPr="00386ABF">
        <w:rPr>
          <w:lang w:val="en-US"/>
        </w:rPr>
        <w:t>Montagu Evans Best Consideration report concludes that the Council has demonstrated that the proposed deal at this early stage (i.e. pre-planning and land transfer/pricing) looks set to deliver the best consideration that can reasonably be obtained. This will be tested again at the Stage Two.</w:t>
      </w:r>
    </w:p>
    <w:p w14:paraId="3BB89847" w14:textId="77777777" w:rsidR="0065091E" w:rsidRPr="0065091E" w:rsidRDefault="0065091E" w:rsidP="00564B0A">
      <w:pPr>
        <w:pStyle w:val="ListParagraph"/>
        <w:numPr>
          <w:ilvl w:val="0"/>
          <w:numId w:val="9"/>
        </w:numPr>
        <w:tabs>
          <w:tab w:val="clear" w:pos="426"/>
          <w:tab w:val="left" w:pos="567"/>
        </w:tabs>
        <w:ind w:left="567" w:right="367" w:hanging="425"/>
        <w:jc w:val="both"/>
      </w:pPr>
      <w:r w:rsidRPr="0065091E">
        <w:t>Exempt Appendix 4 (to be circulated separately</w:t>
      </w:r>
      <w:proofErr w:type="gramStart"/>
      <w:r w:rsidRPr="0065091E">
        <w:t>)  provides</w:t>
      </w:r>
      <w:proofErr w:type="gramEnd"/>
      <w:r w:rsidRPr="0065091E">
        <w:t xml:space="preserve"> advice on State Aid and procurement matters. </w:t>
      </w:r>
    </w:p>
    <w:p w14:paraId="6F900002" w14:textId="33B6AA65" w:rsidR="00B822C1" w:rsidRPr="0065091E" w:rsidRDefault="00B822C1" w:rsidP="0065091E">
      <w:pPr>
        <w:pStyle w:val="ListParagraph"/>
        <w:numPr>
          <w:ilvl w:val="0"/>
          <w:numId w:val="0"/>
        </w:numPr>
        <w:tabs>
          <w:tab w:val="clear" w:pos="426"/>
          <w:tab w:val="left" w:pos="567"/>
        </w:tabs>
        <w:ind w:left="567" w:right="367"/>
        <w:jc w:val="both"/>
        <w:rPr>
          <w:b/>
        </w:rPr>
      </w:pPr>
      <w:r w:rsidRPr="0065091E">
        <w:rPr>
          <w:b/>
        </w:rPr>
        <w:t>Sustainability &amp; Environmental Implications</w:t>
      </w:r>
    </w:p>
    <w:p w14:paraId="025D3A0D" w14:textId="77777777" w:rsidR="00A23508" w:rsidRDefault="00DF6FF4" w:rsidP="005C0EDF">
      <w:pPr>
        <w:pStyle w:val="ListParagraph"/>
        <w:numPr>
          <w:ilvl w:val="0"/>
          <w:numId w:val="9"/>
        </w:numPr>
        <w:tabs>
          <w:tab w:val="clear" w:pos="426"/>
          <w:tab w:val="left" w:pos="567"/>
        </w:tabs>
        <w:ind w:left="567" w:right="367" w:hanging="425"/>
        <w:jc w:val="both"/>
      </w:pPr>
      <w:r>
        <w:t xml:space="preserve">The Viability proposals have been revised since the original tender proposals in particular to comply with </w:t>
      </w:r>
      <w:r w:rsidR="00582C82">
        <w:t xml:space="preserve">the 2036 </w:t>
      </w:r>
      <w:r>
        <w:t xml:space="preserve">emerging </w:t>
      </w:r>
      <w:r w:rsidR="00B822C1">
        <w:t>Local Plan</w:t>
      </w:r>
      <w:r w:rsidR="00D8043E">
        <w:t xml:space="preserve"> sustainability standards</w:t>
      </w:r>
      <w:r>
        <w:t xml:space="preserve"> notably</w:t>
      </w:r>
      <w:r w:rsidR="00A23508">
        <w:t>:</w:t>
      </w:r>
    </w:p>
    <w:p w14:paraId="4D88B8CC" w14:textId="77777777" w:rsidR="00B822C1" w:rsidRDefault="00D8043E" w:rsidP="005C0EDF">
      <w:pPr>
        <w:pStyle w:val="ListParagraph"/>
        <w:numPr>
          <w:ilvl w:val="1"/>
          <w:numId w:val="9"/>
        </w:numPr>
        <w:tabs>
          <w:tab w:val="clear" w:pos="426"/>
          <w:tab w:val="left" w:pos="567"/>
        </w:tabs>
        <w:ind w:left="1134" w:right="367" w:hanging="567"/>
        <w:jc w:val="both"/>
      </w:pPr>
      <w:r>
        <w:t>40% increase</w:t>
      </w:r>
      <w:r w:rsidR="00A23508">
        <w:t xml:space="preserve"> on Building Regulations Efficiency standards</w:t>
      </w:r>
    </w:p>
    <w:p w14:paraId="11264D2C" w14:textId="77777777" w:rsidR="00A23508" w:rsidRDefault="00A23508" w:rsidP="005C0EDF">
      <w:pPr>
        <w:pStyle w:val="ListParagraph"/>
        <w:numPr>
          <w:ilvl w:val="1"/>
          <w:numId w:val="9"/>
        </w:numPr>
        <w:tabs>
          <w:tab w:val="clear" w:pos="426"/>
          <w:tab w:val="left" w:pos="567"/>
        </w:tabs>
        <w:ind w:left="1134" w:right="367" w:hanging="567"/>
        <w:jc w:val="both"/>
      </w:pPr>
      <w:r>
        <w:t xml:space="preserve">BREEAM Excellent for </w:t>
      </w:r>
      <w:r w:rsidR="00505A77">
        <w:t xml:space="preserve">the </w:t>
      </w:r>
      <w:r>
        <w:t>Community Centre</w:t>
      </w:r>
    </w:p>
    <w:p w14:paraId="056B3A0D" w14:textId="13044220" w:rsidR="00DF6FF4" w:rsidRDefault="00C83FC4" w:rsidP="005C0EDF">
      <w:pPr>
        <w:pStyle w:val="ListParagraph"/>
        <w:numPr>
          <w:ilvl w:val="0"/>
          <w:numId w:val="9"/>
        </w:numPr>
        <w:tabs>
          <w:tab w:val="clear" w:pos="426"/>
          <w:tab w:val="left" w:pos="567"/>
        </w:tabs>
        <w:ind w:left="567" w:right="367" w:hanging="425"/>
        <w:jc w:val="both"/>
      </w:pPr>
      <w:r>
        <w:t xml:space="preserve">CHL is </w:t>
      </w:r>
      <w:r w:rsidR="00582C82">
        <w:t xml:space="preserve">further </w:t>
      </w:r>
      <w:r>
        <w:t>committed to delivering solutions that reduce carbon emissions. Their o</w:t>
      </w:r>
      <w:r w:rsidR="00A23508">
        <w:t xml:space="preserve">utline proposals </w:t>
      </w:r>
      <w:r w:rsidR="00DF6FF4">
        <w:t xml:space="preserve">have included options such as air source heating for all properties in place of boilers. The sustainability proposals will </w:t>
      </w:r>
      <w:r w:rsidR="00360C78">
        <w:t xml:space="preserve">continue to </w:t>
      </w:r>
      <w:r w:rsidR="00DF6FF4">
        <w:t xml:space="preserve">be </w:t>
      </w:r>
      <w:r w:rsidR="00386ABF">
        <w:t xml:space="preserve">developed </w:t>
      </w:r>
      <w:r w:rsidR="00DF6FF4">
        <w:t>as part of the Deta</w:t>
      </w:r>
      <w:r w:rsidR="005F6670">
        <w:t>iled Design Stage Two proposals with consideration of the impact of further enhancements including Passi</w:t>
      </w:r>
      <w:r w:rsidR="00117E91">
        <w:t>vh</w:t>
      </w:r>
      <w:r w:rsidR="005F6670">
        <w:t xml:space="preserve">aus and other </w:t>
      </w:r>
      <w:r w:rsidR="008F5435">
        <w:t>improvements to sustainability</w:t>
      </w:r>
      <w:r w:rsidR="005F6670">
        <w:t>.</w:t>
      </w:r>
    </w:p>
    <w:p w14:paraId="7D9EA683" w14:textId="77777777" w:rsidR="00505A77" w:rsidRDefault="00582C82" w:rsidP="005C0EDF">
      <w:pPr>
        <w:pStyle w:val="ListParagraph"/>
        <w:numPr>
          <w:ilvl w:val="0"/>
          <w:numId w:val="9"/>
        </w:numPr>
        <w:tabs>
          <w:tab w:val="clear" w:pos="426"/>
          <w:tab w:val="left" w:pos="567"/>
        </w:tabs>
        <w:ind w:left="567" w:right="367" w:hanging="425"/>
        <w:jc w:val="both"/>
      </w:pPr>
      <w:r>
        <w:t>E</w:t>
      </w:r>
      <w:r w:rsidR="00505A77">
        <w:t xml:space="preserve">nvironmental improvements to be developed during the </w:t>
      </w:r>
      <w:r w:rsidR="00C83FC4">
        <w:t>d</w:t>
      </w:r>
      <w:r w:rsidR="00505A77">
        <w:t xml:space="preserve">etailed </w:t>
      </w:r>
      <w:r w:rsidR="00C83FC4">
        <w:t>d</w:t>
      </w:r>
      <w:r w:rsidR="00505A77">
        <w:t xml:space="preserve">esign period will include the </w:t>
      </w:r>
      <w:r>
        <w:t xml:space="preserve">significant </w:t>
      </w:r>
      <w:r w:rsidR="00505A77">
        <w:t>new public square and l</w:t>
      </w:r>
      <w:r w:rsidR="00B822C1">
        <w:t>andscape Improvements</w:t>
      </w:r>
      <w:r w:rsidR="00505A77">
        <w:t xml:space="preserve"> and with opportunities for </w:t>
      </w:r>
      <w:r w:rsidR="00C83FC4">
        <w:t>Sustainable Urban Drainage (</w:t>
      </w:r>
      <w:r w:rsidR="00505A77">
        <w:t>SUDS</w:t>
      </w:r>
      <w:r w:rsidR="00C83FC4">
        <w:t>)</w:t>
      </w:r>
      <w:r w:rsidR="00505A77">
        <w:t xml:space="preserve"> inclusion. </w:t>
      </w:r>
    </w:p>
    <w:p w14:paraId="4A66ECB8" w14:textId="02574677" w:rsidR="00D8043E" w:rsidRDefault="00A23508" w:rsidP="005C0EDF">
      <w:pPr>
        <w:pStyle w:val="ListParagraph"/>
        <w:numPr>
          <w:ilvl w:val="0"/>
          <w:numId w:val="9"/>
        </w:numPr>
        <w:tabs>
          <w:tab w:val="left" w:pos="567"/>
        </w:tabs>
        <w:ind w:left="567" w:right="367" w:hanging="425"/>
        <w:jc w:val="both"/>
      </w:pPr>
      <w:r>
        <w:t xml:space="preserve">Housing </w:t>
      </w:r>
      <w:r w:rsidR="004F2648">
        <w:t>quality s</w:t>
      </w:r>
      <w:r>
        <w:t xml:space="preserve">tandards </w:t>
      </w:r>
      <w:r w:rsidR="00610FFC">
        <w:t xml:space="preserve">including compliance with </w:t>
      </w:r>
      <w:r w:rsidR="004F2648">
        <w:t xml:space="preserve">new minimum space standards and </w:t>
      </w:r>
      <w:r w:rsidR="006D736A">
        <w:t>standards for accessible and adaptable housing</w:t>
      </w:r>
      <w:r w:rsidR="004F2648">
        <w:t xml:space="preserve"> in accordance with OCC emerging 2036 Local Plan will help address local housing need and wider community sustainability issues.</w:t>
      </w:r>
    </w:p>
    <w:p w14:paraId="6820272E" w14:textId="77777777" w:rsidR="00D44EFC" w:rsidRDefault="00D44EFC" w:rsidP="00D44EFC">
      <w:pPr>
        <w:tabs>
          <w:tab w:val="left" w:pos="567"/>
        </w:tabs>
        <w:ind w:right="367"/>
        <w:jc w:val="both"/>
      </w:pPr>
    </w:p>
    <w:p w14:paraId="669C44D7" w14:textId="77777777" w:rsidR="00D44EFC" w:rsidRDefault="00D44EFC" w:rsidP="00D44EFC">
      <w:pPr>
        <w:tabs>
          <w:tab w:val="left" w:pos="567"/>
        </w:tabs>
        <w:ind w:right="367"/>
        <w:jc w:val="both"/>
      </w:pPr>
    </w:p>
    <w:p w14:paraId="699435DE" w14:textId="77777777" w:rsidR="00A66711" w:rsidRDefault="00BD3511" w:rsidP="00564B0A">
      <w:pPr>
        <w:tabs>
          <w:tab w:val="left" w:pos="567"/>
        </w:tabs>
        <w:ind w:left="567" w:right="367" w:hanging="425"/>
        <w:jc w:val="both"/>
      </w:pPr>
      <w:r>
        <w:rPr>
          <w:b/>
        </w:rPr>
        <w:lastRenderedPageBreak/>
        <w:t>Risks</w:t>
      </w:r>
    </w:p>
    <w:p w14:paraId="75E37C7B" w14:textId="67305246" w:rsidR="00A66711" w:rsidRDefault="008F5435" w:rsidP="005C0EDF">
      <w:pPr>
        <w:pStyle w:val="ListParagraph"/>
        <w:numPr>
          <w:ilvl w:val="0"/>
          <w:numId w:val="9"/>
        </w:numPr>
        <w:tabs>
          <w:tab w:val="clear" w:pos="426"/>
          <w:tab w:val="left" w:pos="567"/>
        </w:tabs>
        <w:ind w:left="567" w:right="367" w:hanging="425"/>
        <w:jc w:val="both"/>
      </w:pPr>
      <w:r>
        <w:t>The Risk register is attached as Appendix 5. Key risks are outlined below.</w:t>
      </w:r>
    </w:p>
    <w:p w14:paraId="332B7E09" w14:textId="77777777" w:rsidR="00A66711" w:rsidRDefault="008C6C59" w:rsidP="006F7BD0">
      <w:pPr>
        <w:pStyle w:val="ListParagraph"/>
        <w:numPr>
          <w:ilvl w:val="0"/>
          <w:numId w:val="9"/>
        </w:numPr>
        <w:tabs>
          <w:tab w:val="clear" w:pos="426"/>
          <w:tab w:val="left" w:pos="567"/>
        </w:tabs>
        <w:ind w:left="567" w:right="367" w:hanging="425"/>
        <w:jc w:val="both"/>
      </w:pPr>
      <w:r>
        <w:t xml:space="preserve">The financial model is at feasibility stage and will be reviewed at Stage 2 in accordance with the development agreement. Costs and values may change and this will impact on the viability. This will be closely monitored during detailed design. </w:t>
      </w:r>
    </w:p>
    <w:p w14:paraId="268EE2C8" w14:textId="026E7602" w:rsidR="00BD3511" w:rsidRDefault="008C6C59" w:rsidP="006F7BD0">
      <w:pPr>
        <w:pStyle w:val="ListParagraph"/>
        <w:numPr>
          <w:ilvl w:val="0"/>
          <w:numId w:val="9"/>
        </w:numPr>
        <w:tabs>
          <w:tab w:val="clear" w:pos="426"/>
          <w:tab w:val="left" w:pos="567"/>
        </w:tabs>
        <w:ind w:left="567" w:right="367" w:hanging="425"/>
        <w:jc w:val="both"/>
      </w:pPr>
      <w:r>
        <w:t>The HIF funding spend deadline has bee</w:t>
      </w:r>
      <w:r w:rsidR="00D86969">
        <w:t>n</w:t>
      </w:r>
      <w:r>
        <w:t xml:space="preserve"> extended to March 2023. The construction programme will need to be carefully m</w:t>
      </w:r>
      <w:r w:rsidR="008F5435">
        <w:t>onitored to meet this timetable which is challenging but achievable.</w:t>
      </w:r>
    </w:p>
    <w:p w14:paraId="529EDF62" w14:textId="77777777" w:rsidR="00BD3511" w:rsidRDefault="00BD3511" w:rsidP="006F7BD0">
      <w:pPr>
        <w:pStyle w:val="ListParagraph"/>
        <w:numPr>
          <w:ilvl w:val="0"/>
          <w:numId w:val="9"/>
        </w:numPr>
        <w:tabs>
          <w:tab w:val="clear" w:pos="426"/>
          <w:tab w:val="left" w:pos="567"/>
        </w:tabs>
        <w:ind w:left="567" w:right="367" w:hanging="425"/>
        <w:jc w:val="both"/>
      </w:pPr>
      <w:r>
        <w:t xml:space="preserve">Grant funding </w:t>
      </w:r>
      <w:r w:rsidR="00C713E7">
        <w:t xml:space="preserve">is </w:t>
      </w:r>
      <w:r w:rsidR="00C713E7" w:rsidRPr="00EB6A12">
        <w:rPr>
          <w:color w:val="auto"/>
        </w:rPr>
        <w:t>dependent on future levels of H</w:t>
      </w:r>
      <w:r w:rsidR="00C713E7">
        <w:rPr>
          <w:color w:val="auto"/>
        </w:rPr>
        <w:t>omes England</w:t>
      </w:r>
      <w:r w:rsidR="00C713E7" w:rsidRPr="00EB6A12">
        <w:rPr>
          <w:color w:val="auto"/>
        </w:rPr>
        <w:t xml:space="preserve"> grant</w:t>
      </w:r>
      <w:r w:rsidR="00C713E7">
        <w:rPr>
          <w:color w:val="auto"/>
        </w:rPr>
        <w:t>, which have not yet been set</w:t>
      </w:r>
    </w:p>
    <w:p w14:paraId="1B7A5C55" w14:textId="77777777" w:rsidR="008F5435" w:rsidRDefault="00C713E7" w:rsidP="006F7BD0">
      <w:pPr>
        <w:pStyle w:val="ListParagraph"/>
        <w:numPr>
          <w:ilvl w:val="0"/>
          <w:numId w:val="9"/>
        </w:numPr>
        <w:tabs>
          <w:tab w:val="clear" w:pos="426"/>
          <w:tab w:val="left" w:pos="567"/>
        </w:tabs>
        <w:ind w:left="567" w:right="367" w:hanging="425"/>
        <w:jc w:val="both"/>
      </w:pPr>
      <w:r>
        <w:t>OCC will be liable to a share of Stage Two detailed design costs should scheme viability not be achieved at Stage Two</w:t>
      </w:r>
      <w:r w:rsidR="008F5435">
        <w:t>.</w:t>
      </w:r>
    </w:p>
    <w:p w14:paraId="33EC8C71" w14:textId="3979A8AA" w:rsidR="00C713E7" w:rsidRDefault="008F5435" w:rsidP="006F7BD0">
      <w:pPr>
        <w:pStyle w:val="ListParagraph"/>
        <w:numPr>
          <w:ilvl w:val="0"/>
          <w:numId w:val="9"/>
        </w:numPr>
        <w:tabs>
          <w:tab w:val="clear" w:pos="426"/>
          <w:tab w:val="left" w:pos="567"/>
        </w:tabs>
        <w:ind w:left="567" w:right="367" w:hanging="425"/>
        <w:jc w:val="both"/>
      </w:pPr>
      <w:r>
        <w:t>OCC funding of the deficit and the retention of all affordable units by CHL to further reduce the subsidy will be subject to legal review and is detailed in the confidential Legal report Appendix 4.</w:t>
      </w:r>
    </w:p>
    <w:p w14:paraId="3B8D3E99" w14:textId="77777777" w:rsidR="00A66711" w:rsidRPr="00A66711" w:rsidRDefault="00A66711" w:rsidP="00564B0A">
      <w:pPr>
        <w:tabs>
          <w:tab w:val="left" w:pos="567"/>
        </w:tabs>
        <w:ind w:left="567" w:right="367" w:hanging="425"/>
        <w:jc w:val="both"/>
        <w:rPr>
          <w:b/>
        </w:rPr>
      </w:pPr>
      <w:r w:rsidRPr="00A66711">
        <w:rPr>
          <w:b/>
        </w:rPr>
        <w:t>Equalities Impact</w:t>
      </w:r>
    </w:p>
    <w:p w14:paraId="34A741CF" w14:textId="77777777" w:rsidR="004E6F99" w:rsidRDefault="004E6F99" w:rsidP="006F7BD0">
      <w:pPr>
        <w:pStyle w:val="ListParagraph"/>
        <w:numPr>
          <w:ilvl w:val="0"/>
          <w:numId w:val="9"/>
        </w:numPr>
        <w:tabs>
          <w:tab w:val="clear" w:pos="426"/>
          <w:tab w:val="left" w:pos="567"/>
        </w:tabs>
        <w:ind w:left="567" w:right="367" w:hanging="425"/>
        <w:jc w:val="both"/>
      </w:pPr>
      <w:r>
        <w:t xml:space="preserve">The project will work alongside the </w:t>
      </w:r>
      <w:r w:rsidR="00E22CFF">
        <w:t>l</w:t>
      </w:r>
      <w:r>
        <w:t xml:space="preserve">ocal </w:t>
      </w:r>
      <w:r w:rsidR="00E22CFF">
        <w:t>p</w:t>
      </w:r>
      <w:r>
        <w:t xml:space="preserve">riorities set for the area and which are reflective of the estate’s current needs. It will be important that social regeneration is embedded within the physical regeneration activities; meeting the current and future needs of the community. </w:t>
      </w:r>
    </w:p>
    <w:p w14:paraId="0F946DF4" w14:textId="46ABDF8A" w:rsidR="0078281E" w:rsidRDefault="0078281E" w:rsidP="001300C2">
      <w:pPr>
        <w:pStyle w:val="ListParagraph"/>
        <w:numPr>
          <w:ilvl w:val="0"/>
          <w:numId w:val="9"/>
        </w:numPr>
        <w:tabs>
          <w:tab w:val="clear" w:pos="426"/>
          <w:tab w:val="left" w:pos="567"/>
        </w:tabs>
        <w:ind w:left="567" w:right="367" w:hanging="425"/>
        <w:jc w:val="both"/>
      </w:pPr>
      <w:r>
        <w:t>In support of OCC Health</w:t>
      </w:r>
      <w:r w:rsidR="008F5435">
        <w:t>y</w:t>
      </w:r>
      <w:r>
        <w:t xml:space="preserve"> Place Shaping policy a Health Impact Assessment will be carried out during the detailed design stage to inform the proposals.</w:t>
      </w:r>
      <w:r w:rsidR="008F5435">
        <w:t xml:space="preserve"> </w:t>
      </w:r>
      <w:r w:rsidR="006F7BD0">
        <w:t xml:space="preserve">Blackbird Leys has been identified as </w:t>
      </w:r>
      <w:r w:rsidR="001300C2">
        <w:t>having the</w:t>
      </w:r>
      <w:r w:rsidR="006F7BD0">
        <w:t xml:space="preserve"> </w:t>
      </w:r>
      <w:r w:rsidR="006F7BD0" w:rsidRPr="006F7BD0">
        <w:t>highest levels of inactivity in Oxfordshire (as identified by Sport England's Active Lives)</w:t>
      </w:r>
      <w:r w:rsidR="006F7BD0">
        <w:t>. Healthy Place Shaping is part of Active Oxfordshire’s proposals to work with under</w:t>
      </w:r>
      <w:r w:rsidR="001300C2">
        <w:t>-</w:t>
      </w:r>
      <w:r w:rsidR="006F7BD0">
        <w:t>represented groups for which inactivity is a major issue, in particular disabled people and people with long term health conditions who make up 20% of the adult population. It will also identify and pursue opportunities for strategic thinking and policy making around mental well- being, older people and, workforce/skills development.</w:t>
      </w:r>
    </w:p>
    <w:p w14:paraId="4C4AF59E" w14:textId="77777777" w:rsidR="004E6F99" w:rsidRPr="00D5279E" w:rsidRDefault="0078281E" w:rsidP="001300C2">
      <w:pPr>
        <w:pStyle w:val="ListParagraph"/>
        <w:numPr>
          <w:ilvl w:val="0"/>
          <w:numId w:val="9"/>
        </w:numPr>
        <w:tabs>
          <w:tab w:val="clear" w:pos="426"/>
          <w:tab w:val="left" w:pos="567"/>
        </w:tabs>
        <w:ind w:left="567" w:right="367" w:hanging="425"/>
        <w:jc w:val="both"/>
      </w:pPr>
      <w:r>
        <w:rPr>
          <w:rFonts w:ascii="TT12CC8o00" w:hAnsi="TT12CC8o00" w:cs="TT12CC8o00"/>
          <w:color w:val="auto"/>
        </w:rPr>
        <w:t>CHL is committed to the wider improvements and investment at Blackbird Leys including a commitment to employment skills and training. CHL will conduct an estate-focussed Employment and Skills Audit and ensure that opportunities are not restricted to construction related work but will include wider opportunities for up-skilling and training to support long term, secure and higher paid work.</w:t>
      </w:r>
    </w:p>
    <w:p w14:paraId="72BD8F47" w14:textId="6F794A93" w:rsidR="004E6F99" w:rsidRPr="00DD6EF2" w:rsidRDefault="004E6F99" w:rsidP="001300C2">
      <w:pPr>
        <w:pStyle w:val="ListParagraph"/>
        <w:numPr>
          <w:ilvl w:val="0"/>
          <w:numId w:val="9"/>
        </w:numPr>
        <w:tabs>
          <w:tab w:val="clear" w:pos="426"/>
          <w:tab w:val="left" w:pos="567"/>
        </w:tabs>
        <w:ind w:left="567" w:right="367" w:hanging="425"/>
        <w:jc w:val="both"/>
      </w:pPr>
      <w:r>
        <w:rPr>
          <w:rFonts w:ascii="TT12CC8o00" w:hAnsi="TT12CC8o00" w:cs="TT12CC8o00"/>
          <w:color w:val="auto"/>
        </w:rPr>
        <w:t xml:space="preserve">See Appendix </w:t>
      </w:r>
      <w:r w:rsidR="008F5435">
        <w:rPr>
          <w:rFonts w:ascii="TT12CC8o00" w:hAnsi="TT12CC8o00" w:cs="TT12CC8o00"/>
          <w:color w:val="auto"/>
        </w:rPr>
        <w:t>6</w:t>
      </w:r>
      <w:r>
        <w:rPr>
          <w:rFonts w:ascii="TT12CC8o00" w:hAnsi="TT12CC8o00" w:cs="TT12CC8o00"/>
          <w:color w:val="auto"/>
        </w:rPr>
        <w:t xml:space="preserve"> for an Equalities Impact Assessment which is specific to the </w:t>
      </w:r>
      <w:r w:rsidR="0078281E">
        <w:rPr>
          <w:rFonts w:ascii="TT12CC8o00" w:hAnsi="TT12CC8o00" w:cs="TT12CC8o00"/>
          <w:color w:val="auto"/>
        </w:rPr>
        <w:t>Stage 2 detailed design proposals</w:t>
      </w:r>
      <w:r>
        <w:rPr>
          <w:rFonts w:ascii="TT12CC8o00" w:hAnsi="TT12CC8o00" w:cs="TT12CC8o00"/>
          <w:color w:val="auto"/>
        </w:rPr>
        <w:t>.</w:t>
      </w:r>
    </w:p>
    <w:p w14:paraId="1995E38E" w14:textId="102E025F" w:rsidR="0042528A" w:rsidRDefault="00E87F7A" w:rsidP="0042528A">
      <w:pPr>
        <w:pStyle w:val="Heading1"/>
        <w:tabs>
          <w:tab w:val="left" w:pos="567"/>
        </w:tabs>
        <w:ind w:left="567" w:right="367" w:hanging="425"/>
        <w:jc w:val="both"/>
      </w:pPr>
      <w:r w:rsidRPr="001356F1">
        <w:t>Conclusion</w:t>
      </w:r>
    </w:p>
    <w:p w14:paraId="4E3FFE6E" w14:textId="50C41C6F" w:rsidR="00461F76" w:rsidRPr="00461F76" w:rsidRDefault="006D736A" w:rsidP="00627985">
      <w:pPr>
        <w:pStyle w:val="ListParagraph"/>
        <w:numPr>
          <w:ilvl w:val="0"/>
          <w:numId w:val="9"/>
        </w:numPr>
        <w:tabs>
          <w:tab w:val="clear" w:pos="426"/>
          <w:tab w:val="left" w:pos="567"/>
        </w:tabs>
        <w:ind w:left="567" w:right="367" w:hanging="425"/>
        <w:jc w:val="both"/>
        <w:rPr>
          <w:rFonts w:cs="Arial"/>
        </w:rPr>
      </w:pPr>
      <w:r w:rsidRPr="00461F76">
        <w:rPr>
          <w:rFonts w:cs="Arial"/>
        </w:rPr>
        <w:t>A</w:t>
      </w:r>
      <w:r w:rsidR="0042528A" w:rsidRPr="00461F76">
        <w:rPr>
          <w:rFonts w:cs="Arial"/>
        </w:rPr>
        <w:t>pproval to the Pre-Planning Viability Condition and all other Stage One requirements of the Development Agreement detailed in this report will enable the scheme to move past Gateway One and into Stage Two of the Development Agreement</w:t>
      </w:r>
      <w:r w:rsidR="002D2778">
        <w:rPr>
          <w:rFonts w:cs="Arial"/>
        </w:rPr>
        <w:t>. T</w:t>
      </w:r>
      <w:r w:rsidR="00461F76" w:rsidRPr="00461F76">
        <w:rPr>
          <w:rFonts w:cs="Arial"/>
        </w:rPr>
        <w:t xml:space="preserve">his is supported by </w:t>
      </w:r>
      <w:r w:rsidR="00461F76">
        <w:t>T</w:t>
      </w:r>
      <w:r w:rsidR="00461F76" w:rsidRPr="00B1556E">
        <w:t xml:space="preserve">he Strategic Outline Business Case </w:t>
      </w:r>
      <w:r w:rsidR="00461F76">
        <w:t xml:space="preserve">which </w:t>
      </w:r>
      <w:r w:rsidR="00461F76" w:rsidRPr="00B1556E">
        <w:t>recommends that the project progresses t</w:t>
      </w:r>
      <w:r w:rsidR="00461F76">
        <w:t xml:space="preserve">o the next stage of development. </w:t>
      </w:r>
    </w:p>
    <w:p w14:paraId="726AF6A1" w14:textId="3E986E96" w:rsidR="00461F76" w:rsidRPr="002D2778" w:rsidRDefault="006D736A" w:rsidP="002D2778">
      <w:pPr>
        <w:pStyle w:val="ListParagraph"/>
        <w:numPr>
          <w:ilvl w:val="0"/>
          <w:numId w:val="9"/>
        </w:numPr>
        <w:tabs>
          <w:tab w:val="clear" w:pos="426"/>
          <w:tab w:val="left" w:pos="567"/>
        </w:tabs>
        <w:ind w:left="567" w:right="367" w:hanging="425"/>
        <w:jc w:val="both"/>
        <w:rPr>
          <w:rFonts w:cs="Arial"/>
        </w:rPr>
      </w:pPr>
      <w:r w:rsidRPr="00461F76">
        <w:rPr>
          <w:rFonts w:cs="Arial"/>
        </w:rPr>
        <w:t xml:space="preserve">Approval to proceed to </w:t>
      </w:r>
      <w:r w:rsidR="0042528A" w:rsidRPr="00461F76">
        <w:rPr>
          <w:rFonts w:cs="Arial"/>
        </w:rPr>
        <w:t xml:space="preserve">Stage Two will enable the detailed design work to commence </w:t>
      </w:r>
      <w:r>
        <w:t xml:space="preserve">which will see the preparation of the detailed design, and </w:t>
      </w:r>
      <w:r w:rsidR="0042528A" w:rsidRPr="00461F76">
        <w:rPr>
          <w:rFonts w:cs="Arial"/>
        </w:rPr>
        <w:t xml:space="preserve">the preparation </w:t>
      </w:r>
      <w:r w:rsidRPr="00461F76">
        <w:rPr>
          <w:rFonts w:cs="Arial"/>
        </w:rPr>
        <w:t xml:space="preserve">of the planning application including the further engagement of the local community to support the design. This will commit </w:t>
      </w:r>
      <w:r>
        <w:t>OCC to the possible risk of abortive fees of £994K should the project not proceed beyond the next viability test at the Stage Two Gateway.</w:t>
      </w:r>
    </w:p>
    <w:p w14:paraId="77A2DBED" w14:textId="77777777" w:rsidR="002329CF" w:rsidRPr="001356F1" w:rsidRDefault="002329CF" w:rsidP="006D736A"/>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7540D54B"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DDBFBD9" w14:textId="450ED146"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B598B46" w14:textId="1E7A6C69" w:rsidR="00E87F7A" w:rsidRPr="001356F1" w:rsidRDefault="00E5215E" w:rsidP="00A46E98">
            <w:r>
              <w:t>Andrew Humpherson</w:t>
            </w:r>
            <w:r w:rsidR="00796808">
              <w:t xml:space="preserve"> – Regeneration Manager</w:t>
            </w:r>
          </w:p>
        </w:tc>
      </w:tr>
      <w:tr w:rsidR="00DF093E" w:rsidRPr="001356F1" w14:paraId="61AEFA4A" w14:textId="77777777" w:rsidTr="00A46E98">
        <w:trPr>
          <w:cantSplit/>
          <w:trHeight w:val="396"/>
        </w:trPr>
        <w:tc>
          <w:tcPr>
            <w:tcW w:w="3969" w:type="dxa"/>
            <w:tcBorders>
              <w:top w:val="nil"/>
              <w:left w:val="single" w:sz="8" w:space="0" w:color="000000"/>
              <w:bottom w:val="nil"/>
              <w:right w:val="nil"/>
            </w:tcBorders>
            <w:shd w:val="clear" w:color="auto" w:fill="auto"/>
          </w:tcPr>
          <w:p w14:paraId="6BB47A1F"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05BDE962" w14:textId="20D7F89C" w:rsidR="00E87F7A" w:rsidRPr="001356F1" w:rsidRDefault="00E5215E" w:rsidP="00A46E98">
            <w:r>
              <w:t>Regeneration and Economy</w:t>
            </w:r>
          </w:p>
        </w:tc>
      </w:tr>
      <w:tr w:rsidR="00DF093E" w:rsidRPr="001356F1" w14:paraId="368A5EAF" w14:textId="77777777" w:rsidTr="00A46E98">
        <w:trPr>
          <w:cantSplit/>
          <w:trHeight w:val="396"/>
        </w:trPr>
        <w:tc>
          <w:tcPr>
            <w:tcW w:w="3969" w:type="dxa"/>
            <w:tcBorders>
              <w:top w:val="nil"/>
              <w:left w:val="single" w:sz="8" w:space="0" w:color="000000"/>
              <w:bottom w:val="nil"/>
              <w:right w:val="nil"/>
            </w:tcBorders>
            <w:shd w:val="clear" w:color="auto" w:fill="auto"/>
          </w:tcPr>
          <w:p w14:paraId="10C4D0BD"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69888CB1" w14:textId="17F1A6E8" w:rsidR="00E87F7A" w:rsidRPr="001356F1" w:rsidRDefault="00E87F7A" w:rsidP="00E5215E">
            <w:r w:rsidRPr="001356F1">
              <w:t xml:space="preserve">01865 </w:t>
            </w:r>
            <w:r w:rsidR="00E5215E">
              <w:t>335702</w:t>
            </w:r>
          </w:p>
        </w:tc>
      </w:tr>
      <w:tr w:rsidR="005570B5" w:rsidRPr="001356F1" w14:paraId="17F4F5EE"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55F2721"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5E6D08BC" w14:textId="4BE128ED" w:rsidR="00E87F7A" w:rsidRPr="001356F1" w:rsidRDefault="00E5215E" w:rsidP="00A46E98">
            <w:pPr>
              <w:rPr>
                <w:rStyle w:val="Hyperlink"/>
                <w:color w:val="000000"/>
              </w:rPr>
            </w:pPr>
            <w:r>
              <w:rPr>
                <w:rStyle w:val="Hyperlink"/>
                <w:color w:val="000000"/>
              </w:rPr>
              <w:t>ahumpherson@oxford.gov.uk</w:t>
            </w:r>
          </w:p>
        </w:tc>
      </w:tr>
    </w:tbl>
    <w:p w14:paraId="2B8B78F0"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8364"/>
      </w:tblGrid>
      <w:tr w:rsidR="00DF093E" w:rsidRPr="001356F1" w14:paraId="69DACF5F" w14:textId="77777777" w:rsidTr="0065091E">
        <w:tc>
          <w:tcPr>
            <w:tcW w:w="9154" w:type="dxa"/>
            <w:gridSpan w:val="2"/>
            <w:tcBorders>
              <w:top w:val="single" w:sz="4" w:space="0" w:color="auto"/>
              <w:left w:val="single" w:sz="4" w:space="0" w:color="auto"/>
              <w:bottom w:val="single" w:sz="8" w:space="0" w:color="000000"/>
              <w:right w:val="single" w:sz="4" w:space="0" w:color="auto"/>
            </w:tcBorders>
            <w:shd w:val="clear" w:color="auto" w:fill="auto"/>
          </w:tcPr>
          <w:p w14:paraId="20AB61FC" w14:textId="77777777" w:rsidR="0093067A" w:rsidRPr="001356F1" w:rsidRDefault="00182B81" w:rsidP="00E67B5F">
            <w:r w:rsidRPr="001356F1">
              <w:rPr>
                <w:rStyle w:val="Firstpagetablebold"/>
              </w:rPr>
              <w:t xml:space="preserve">Background Papers: </w:t>
            </w:r>
          </w:p>
        </w:tc>
      </w:tr>
      <w:tr w:rsidR="00DF093E" w:rsidRPr="001356F1" w14:paraId="20D7C9BB" w14:textId="77777777" w:rsidTr="0065091E">
        <w:tc>
          <w:tcPr>
            <w:tcW w:w="790" w:type="dxa"/>
            <w:tcBorders>
              <w:top w:val="single" w:sz="8" w:space="0" w:color="000000"/>
              <w:left w:val="single" w:sz="8" w:space="0" w:color="000000"/>
              <w:bottom w:val="single" w:sz="4" w:space="0" w:color="auto"/>
              <w:right w:val="nil"/>
            </w:tcBorders>
            <w:shd w:val="clear" w:color="auto" w:fill="auto"/>
          </w:tcPr>
          <w:p w14:paraId="0A524CA7" w14:textId="64FDB778" w:rsidR="0093067A" w:rsidRPr="001356F1" w:rsidRDefault="0065091E" w:rsidP="00F41AC1">
            <w:r>
              <w:t>None</w:t>
            </w:r>
          </w:p>
        </w:tc>
        <w:tc>
          <w:tcPr>
            <w:tcW w:w="8364" w:type="dxa"/>
            <w:tcBorders>
              <w:top w:val="single" w:sz="8" w:space="0" w:color="000000"/>
              <w:left w:val="nil"/>
              <w:bottom w:val="single" w:sz="4" w:space="0" w:color="auto"/>
              <w:right w:val="single" w:sz="8" w:space="0" w:color="000000"/>
            </w:tcBorders>
          </w:tcPr>
          <w:p w14:paraId="12534DAE" w14:textId="17EBDB60" w:rsidR="0093067A" w:rsidRPr="001356F1" w:rsidRDefault="0093067A" w:rsidP="005D0621"/>
        </w:tc>
      </w:tr>
    </w:tbl>
    <w:p w14:paraId="6A10A914" w14:textId="77777777" w:rsidR="00CE4C87" w:rsidRDefault="00CE4C87" w:rsidP="0093067A"/>
    <w:p w14:paraId="041009DC" w14:textId="77777777" w:rsidR="004456DD" w:rsidRPr="009E51FC" w:rsidRDefault="004456DD" w:rsidP="0093067A"/>
    <w:sectPr w:rsidR="004456DD" w:rsidRPr="009E51FC" w:rsidSect="00BC200B">
      <w:footerReference w:type="even" r:id="rId12"/>
      <w:head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4DA6F" w14:textId="77777777" w:rsidR="00FA4AC0" w:rsidRDefault="00FA4AC0" w:rsidP="004A6D2F">
      <w:r>
        <w:separator/>
      </w:r>
    </w:p>
  </w:endnote>
  <w:endnote w:type="continuationSeparator" w:id="0">
    <w:p w14:paraId="6170F8BF" w14:textId="77777777" w:rsidR="00FA4AC0" w:rsidRDefault="00FA4AC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T12CC8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43805" w14:textId="77777777" w:rsidR="00FA4AC0" w:rsidRDefault="00FA4AC0" w:rsidP="004A6D2F">
    <w:pPr>
      <w:pStyle w:val="Footer"/>
    </w:pPr>
    <w:r>
      <w:t>Do not use a footer or page numbers.</w:t>
    </w:r>
  </w:p>
  <w:p w14:paraId="6CE6189E" w14:textId="77777777" w:rsidR="00FA4AC0" w:rsidRDefault="00FA4AC0" w:rsidP="004A6D2F">
    <w:pPr>
      <w:pStyle w:val="Footer"/>
    </w:pPr>
  </w:p>
  <w:p w14:paraId="524B4887" w14:textId="77777777" w:rsidR="00FA4AC0" w:rsidRDefault="00FA4AC0"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C232F" w14:textId="77777777" w:rsidR="00FA4AC0" w:rsidRDefault="00FA4AC0" w:rsidP="004A6D2F">
      <w:r>
        <w:separator/>
      </w:r>
    </w:p>
  </w:footnote>
  <w:footnote w:type="continuationSeparator" w:id="0">
    <w:p w14:paraId="6AA14564" w14:textId="77777777" w:rsidR="00FA4AC0" w:rsidRDefault="00FA4AC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A6715" w14:textId="77777777" w:rsidR="00FA4AC0" w:rsidRDefault="00FA4AC0" w:rsidP="00D5547E">
    <w:pPr>
      <w:pStyle w:val="Header"/>
      <w:jc w:val="right"/>
    </w:pPr>
    <w:r>
      <w:rPr>
        <w:noProof/>
      </w:rPr>
      <w:drawing>
        <wp:inline distT="0" distB="0" distL="0" distR="0" wp14:anchorId="60158C3E" wp14:editId="35B21B43">
          <wp:extent cx="843280" cy="1117600"/>
          <wp:effectExtent l="0" t="0" r="0" b="6350"/>
          <wp:docPr id="4" name="Picture 4"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E52BB1"/>
    <w:multiLevelType w:val="hybridMultilevel"/>
    <w:tmpl w:val="D85CC3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E620A44"/>
    <w:multiLevelType w:val="hybridMultilevel"/>
    <w:tmpl w:val="0BEA8328"/>
    <w:lvl w:ilvl="0" w:tplc="7CC65E44">
      <w:start w:val="1"/>
      <w:numFmt w:val="bullet"/>
      <w:lvlText w:val="-"/>
      <w:lvlJc w:val="left"/>
      <w:pPr>
        <w:ind w:left="437" w:hanging="360"/>
      </w:pPr>
      <w:rPr>
        <w:rFonts w:ascii="Arial" w:eastAsia="Times New Roman" w:hAnsi="Arial" w:cs="Aria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4">
    <w:nsid w:val="1F970A01"/>
    <w:multiLevelType w:val="hybridMultilevel"/>
    <w:tmpl w:val="D75EE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28579A9"/>
    <w:multiLevelType w:val="hybridMultilevel"/>
    <w:tmpl w:val="1DE64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DA7E26"/>
    <w:multiLevelType w:val="hybridMultilevel"/>
    <w:tmpl w:val="C1F42DAC"/>
    <w:lvl w:ilvl="0" w:tplc="0809000F">
      <w:start w:val="1"/>
      <w:numFmt w:val="decimal"/>
      <w:lvlText w:val="%1."/>
      <w:lvlJc w:val="left"/>
      <w:pPr>
        <w:ind w:left="22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0F18B5"/>
    <w:multiLevelType w:val="hybridMultilevel"/>
    <w:tmpl w:val="B15EF5B4"/>
    <w:lvl w:ilvl="0" w:tplc="5880A172">
      <w:start w:val="1"/>
      <w:numFmt w:val="decimal"/>
      <w:lvlText w:val="%1."/>
      <w:lvlJc w:val="left"/>
      <w:pPr>
        <w:ind w:left="6173"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98365C6"/>
    <w:multiLevelType w:val="multilevel"/>
    <w:tmpl w:val="E67CE66C"/>
    <w:numStyleLink w:val="StyleNumberedLeft0cmHanging075cm"/>
  </w:abstractNum>
  <w:abstractNum w:abstractNumId="11">
    <w:nsid w:val="7C2B4ABE"/>
    <w:multiLevelType w:val="hybridMultilevel"/>
    <w:tmpl w:val="447A5E02"/>
    <w:lvl w:ilvl="0" w:tplc="7CC65E4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4F52AB"/>
    <w:multiLevelType w:val="hybridMultilevel"/>
    <w:tmpl w:val="515CA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1"/>
  </w:num>
  <w:num w:numId="5">
    <w:abstractNumId w:val="9"/>
  </w:num>
  <w:num w:numId="6">
    <w:abstractNumId w:val="3"/>
  </w:num>
  <w:num w:numId="7">
    <w:abstractNumId w:val="11"/>
  </w:num>
  <w:num w:numId="8">
    <w:abstractNumId w:val="7"/>
  </w:num>
  <w:num w:numId="9">
    <w:abstractNumId w:val="8"/>
  </w:num>
  <w:num w:numId="10">
    <w:abstractNumId w:val="10"/>
  </w:num>
  <w:num w:numId="11">
    <w:abstractNumId w:val="10"/>
  </w:num>
  <w:num w:numId="12">
    <w:abstractNumId w:val="2"/>
  </w:num>
  <w:num w:numId="13">
    <w:abstractNumId w:val="10"/>
  </w:num>
  <w:num w:numId="14">
    <w:abstractNumId w:val="4"/>
  </w:num>
  <w:num w:numId="15">
    <w:abstractNumId w:val="6"/>
  </w:num>
  <w:num w:numId="16">
    <w:abstractNumId w:val="12"/>
  </w:num>
  <w:num w:numId="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33"/>
    <w:rsid w:val="0000117A"/>
    <w:rsid w:val="0000247C"/>
    <w:rsid w:val="000117D4"/>
    <w:rsid w:val="0001456F"/>
    <w:rsid w:val="00020BF1"/>
    <w:rsid w:val="00021410"/>
    <w:rsid w:val="000314D7"/>
    <w:rsid w:val="00033AAA"/>
    <w:rsid w:val="00035A04"/>
    <w:rsid w:val="00040996"/>
    <w:rsid w:val="00042736"/>
    <w:rsid w:val="00044D29"/>
    <w:rsid w:val="00045F8B"/>
    <w:rsid w:val="00046D2B"/>
    <w:rsid w:val="00047E3B"/>
    <w:rsid w:val="00056263"/>
    <w:rsid w:val="00062C95"/>
    <w:rsid w:val="000635D3"/>
    <w:rsid w:val="00064D8A"/>
    <w:rsid w:val="00064F82"/>
    <w:rsid w:val="00066510"/>
    <w:rsid w:val="00077523"/>
    <w:rsid w:val="0008085B"/>
    <w:rsid w:val="0008503C"/>
    <w:rsid w:val="00094577"/>
    <w:rsid w:val="00095825"/>
    <w:rsid w:val="000B50BA"/>
    <w:rsid w:val="000C046C"/>
    <w:rsid w:val="000C089F"/>
    <w:rsid w:val="000C3928"/>
    <w:rsid w:val="000C5E8E"/>
    <w:rsid w:val="000D1F49"/>
    <w:rsid w:val="000D2D73"/>
    <w:rsid w:val="000D31BF"/>
    <w:rsid w:val="000D696D"/>
    <w:rsid w:val="000F2FD9"/>
    <w:rsid w:val="000F4751"/>
    <w:rsid w:val="0010524C"/>
    <w:rsid w:val="00107A9E"/>
    <w:rsid w:val="00111FB1"/>
    <w:rsid w:val="00113418"/>
    <w:rsid w:val="00117E91"/>
    <w:rsid w:val="0012292A"/>
    <w:rsid w:val="001300C2"/>
    <w:rsid w:val="001356F1"/>
    <w:rsid w:val="00135DA5"/>
    <w:rsid w:val="00136994"/>
    <w:rsid w:val="0014128E"/>
    <w:rsid w:val="00142AAE"/>
    <w:rsid w:val="00144B4B"/>
    <w:rsid w:val="00151888"/>
    <w:rsid w:val="001544D2"/>
    <w:rsid w:val="001638B5"/>
    <w:rsid w:val="00170A2D"/>
    <w:rsid w:val="00172A3C"/>
    <w:rsid w:val="001752AD"/>
    <w:rsid w:val="001758B9"/>
    <w:rsid w:val="001808BC"/>
    <w:rsid w:val="00182B81"/>
    <w:rsid w:val="0018619D"/>
    <w:rsid w:val="00196678"/>
    <w:rsid w:val="001A011E"/>
    <w:rsid w:val="001A066A"/>
    <w:rsid w:val="001A13E6"/>
    <w:rsid w:val="001A5731"/>
    <w:rsid w:val="001B1267"/>
    <w:rsid w:val="001B42C3"/>
    <w:rsid w:val="001C5D5E"/>
    <w:rsid w:val="001D678D"/>
    <w:rsid w:val="001D74A0"/>
    <w:rsid w:val="001E03F8"/>
    <w:rsid w:val="001E1678"/>
    <w:rsid w:val="001E3376"/>
    <w:rsid w:val="002069B3"/>
    <w:rsid w:val="0022019E"/>
    <w:rsid w:val="00225CEE"/>
    <w:rsid w:val="00226FB8"/>
    <w:rsid w:val="002329CF"/>
    <w:rsid w:val="00232F5B"/>
    <w:rsid w:val="00247C29"/>
    <w:rsid w:val="00250B1A"/>
    <w:rsid w:val="00260467"/>
    <w:rsid w:val="00261107"/>
    <w:rsid w:val="00263EA3"/>
    <w:rsid w:val="0026451F"/>
    <w:rsid w:val="002650A4"/>
    <w:rsid w:val="00267885"/>
    <w:rsid w:val="00272B61"/>
    <w:rsid w:val="00284F85"/>
    <w:rsid w:val="00290915"/>
    <w:rsid w:val="002A131B"/>
    <w:rsid w:val="002A22E2"/>
    <w:rsid w:val="002A4848"/>
    <w:rsid w:val="002B0208"/>
    <w:rsid w:val="002B4B51"/>
    <w:rsid w:val="002C6250"/>
    <w:rsid w:val="002C64F7"/>
    <w:rsid w:val="002D1607"/>
    <w:rsid w:val="002D2778"/>
    <w:rsid w:val="002E0273"/>
    <w:rsid w:val="002E2A77"/>
    <w:rsid w:val="002E6FCD"/>
    <w:rsid w:val="002F21E3"/>
    <w:rsid w:val="002F2511"/>
    <w:rsid w:val="002F41F2"/>
    <w:rsid w:val="003019BE"/>
    <w:rsid w:val="00301BF3"/>
    <w:rsid w:val="0030208D"/>
    <w:rsid w:val="00317C40"/>
    <w:rsid w:val="00323418"/>
    <w:rsid w:val="003246DB"/>
    <w:rsid w:val="003357BF"/>
    <w:rsid w:val="0034685C"/>
    <w:rsid w:val="00346EE4"/>
    <w:rsid w:val="00347CC2"/>
    <w:rsid w:val="00360C78"/>
    <w:rsid w:val="00364FAD"/>
    <w:rsid w:val="0036738F"/>
    <w:rsid w:val="0036759C"/>
    <w:rsid w:val="00367AE5"/>
    <w:rsid w:val="00367D71"/>
    <w:rsid w:val="0038150A"/>
    <w:rsid w:val="003823B1"/>
    <w:rsid w:val="00386ABF"/>
    <w:rsid w:val="00391AD2"/>
    <w:rsid w:val="003A13CC"/>
    <w:rsid w:val="003A2233"/>
    <w:rsid w:val="003A36B0"/>
    <w:rsid w:val="003A4C57"/>
    <w:rsid w:val="003B591B"/>
    <w:rsid w:val="003B6E75"/>
    <w:rsid w:val="003B7DA1"/>
    <w:rsid w:val="003C3053"/>
    <w:rsid w:val="003C727D"/>
    <w:rsid w:val="003C7430"/>
    <w:rsid w:val="003D0379"/>
    <w:rsid w:val="003D0F25"/>
    <w:rsid w:val="003D22E6"/>
    <w:rsid w:val="003D2574"/>
    <w:rsid w:val="003D4C59"/>
    <w:rsid w:val="003F4267"/>
    <w:rsid w:val="00404032"/>
    <w:rsid w:val="0040736F"/>
    <w:rsid w:val="00412C1F"/>
    <w:rsid w:val="00417ECA"/>
    <w:rsid w:val="00421CB2"/>
    <w:rsid w:val="0042528A"/>
    <w:rsid w:val="004268B9"/>
    <w:rsid w:val="00433B96"/>
    <w:rsid w:val="004440F1"/>
    <w:rsid w:val="00444FD3"/>
    <w:rsid w:val="004456DD"/>
    <w:rsid w:val="00446CDF"/>
    <w:rsid w:val="004521B7"/>
    <w:rsid w:val="00452884"/>
    <w:rsid w:val="00452A78"/>
    <w:rsid w:val="00452AB2"/>
    <w:rsid w:val="00460A15"/>
    <w:rsid w:val="00461F76"/>
    <w:rsid w:val="00462AB5"/>
    <w:rsid w:val="00465096"/>
    <w:rsid w:val="004658FF"/>
    <w:rsid w:val="00465EAF"/>
    <w:rsid w:val="004738C5"/>
    <w:rsid w:val="00473DB9"/>
    <w:rsid w:val="00491046"/>
    <w:rsid w:val="0049568F"/>
    <w:rsid w:val="004A2AC7"/>
    <w:rsid w:val="004A6D2F"/>
    <w:rsid w:val="004C2887"/>
    <w:rsid w:val="004D2626"/>
    <w:rsid w:val="004D6E26"/>
    <w:rsid w:val="004D77D3"/>
    <w:rsid w:val="004E2959"/>
    <w:rsid w:val="004E513C"/>
    <w:rsid w:val="004E6F99"/>
    <w:rsid w:val="004F20EF"/>
    <w:rsid w:val="004F2648"/>
    <w:rsid w:val="004F44F1"/>
    <w:rsid w:val="0050321C"/>
    <w:rsid w:val="00505A77"/>
    <w:rsid w:val="00506104"/>
    <w:rsid w:val="005067EF"/>
    <w:rsid w:val="00512875"/>
    <w:rsid w:val="005148D5"/>
    <w:rsid w:val="00534311"/>
    <w:rsid w:val="005372E4"/>
    <w:rsid w:val="00537FB9"/>
    <w:rsid w:val="0054712D"/>
    <w:rsid w:val="00547EF6"/>
    <w:rsid w:val="00550CD5"/>
    <w:rsid w:val="00551965"/>
    <w:rsid w:val="00552317"/>
    <w:rsid w:val="005570B5"/>
    <w:rsid w:val="00561091"/>
    <w:rsid w:val="005628A6"/>
    <w:rsid w:val="00564B0A"/>
    <w:rsid w:val="00567E18"/>
    <w:rsid w:val="00572321"/>
    <w:rsid w:val="00575F5F"/>
    <w:rsid w:val="00581805"/>
    <w:rsid w:val="00582C82"/>
    <w:rsid w:val="00585F76"/>
    <w:rsid w:val="00597F95"/>
    <w:rsid w:val="005A34E4"/>
    <w:rsid w:val="005B17F2"/>
    <w:rsid w:val="005B4381"/>
    <w:rsid w:val="005B7AD8"/>
    <w:rsid w:val="005B7FB0"/>
    <w:rsid w:val="005C06E9"/>
    <w:rsid w:val="005C0EDF"/>
    <w:rsid w:val="005C35A5"/>
    <w:rsid w:val="005C577C"/>
    <w:rsid w:val="005C7FAD"/>
    <w:rsid w:val="005D0621"/>
    <w:rsid w:val="005D1E27"/>
    <w:rsid w:val="005D2A3E"/>
    <w:rsid w:val="005D3E79"/>
    <w:rsid w:val="005D688C"/>
    <w:rsid w:val="005E022E"/>
    <w:rsid w:val="005E5215"/>
    <w:rsid w:val="005F6670"/>
    <w:rsid w:val="005F6D2F"/>
    <w:rsid w:val="005F7F7E"/>
    <w:rsid w:val="00601C10"/>
    <w:rsid w:val="00610FFC"/>
    <w:rsid w:val="00614693"/>
    <w:rsid w:val="00623C2F"/>
    <w:rsid w:val="00624743"/>
    <w:rsid w:val="00626372"/>
    <w:rsid w:val="00627985"/>
    <w:rsid w:val="00632097"/>
    <w:rsid w:val="00633578"/>
    <w:rsid w:val="00635085"/>
    <w:rsid w:val="00637068"/>
    <w:rsid w:val="006370A9"/>
    <w:rsid w:val="006410A4"/>
    <w:rsid w:val="00647A12"/>
    <w:rsid w:val="00650811"/>
    <w:rsid w:val="0065091E"/>
    <w:rsid w:val="006522D3"/>
    <w:rsid w:val="00652F2C"/>
    <w:rsid w:val="00654277"/>
    <w:rsid w:val="00661D3E"/>
    <w:rsid w:val="006675B9"/>
    <w:rsid w:val="006822EB"/>
    <w:rsid w:val="00683E65"/>
    <w:rsid w:val="00691CF2"/>
    <w:rsid w:val="00692627"/>
    <w:rsid w:val="006927B0"/>
    <w:rsid w:val="006969E7"/>
    <w:rsid w:val="006A1545"/>
    <w:rsid w:val="006A3643"/>
    <w:rsid w:val="006B2838"/>
    <w:rsid w:val="006C2A29"/>
    <w:rsid w:val="006C3AC7"/>
    <w:rsid w:val="006C64CF"/>
    <w:rsid w:val="006D17B1"/>
    <w:rsid w:val="006D2874"/>
    <w:rsid w:val="006D4752"/>
    <w:rsid w:val="006D708A"/>
    <w:rsid w:val="006D736A"/>
    <w:rsid w:val="006E14C1"/>
    <w:rsid w:val="006F0292"/>
    <w:rsid w:val="006F27FA"/>
    <w:rsid w:val="006F36B4"/>
    <w:rsid w:val="006F416B"/>
    <w:rsid w:val="006F519B"/>
    <w:rsid w:val="006F566F"/>
    <w:rsid w:val="006F7BD0"/>
    <w:rsid w:val="00713675"/>
    <w:rsid w:val="00715823"/>
    <w:rsid w:val="00725D38"/>
    <w:rsid w:val="007365E7"/>
    <w:rsid w:val="00737B93"/>
    <w:rsid w:val="007415EE"/>
    <w:rsid w:val="00742789"/>
    <w:rsid w:val="007443EE"/>
    <w:rsid w:val="00745BF0"/>
    <w:rsid w:val="00752394"/>
    <w:rsid w:val="007615FE"/>
    <w:rsid w:val="0076655C"/>
    <w:rsid w:val="007742DC"/>
    <w:rsid w:val="0078079E"/>
    <w:rsid w:val="0078281E"/>
    <w:rsid w:val="007834EC"/>
    <w:rsid w:val="00791437"/>
    <w:rsid w:val="00795254"/>
    <w:rsid w:val="00796808"/>
    <w:rsid w:val="007A1A1E"/>
    <w:rsid w:val="007A3336"/>
    <w:rsid w:val="007A7719"/>
    <w:rsid w:val="007B0C2C"/>
    <w:rsid w:val="007B278E"/>
    <w:rsid w:val="007C011E"/>
    <w:rsid w:val="007C08FF"/>
    <w:rsid w:val="007C5C23"/>
    <w:rsid w:val="007C5F9E"/>
    <w:rsid w:val="007D370C"/>
    <w:rsid w:val="007E0165"/>
    <w:rsid w:val="007E1D45"/>
    <w:rsid w:val="007E2A26"/>
    <w:rsid w:val="007F2348"/>
    <w:rsid w:val="007F4EAF"/>
    <w:rsid w:val="00803186"/>
    <w:rsid w:val="00803F07"/>
    <w:rsid w:val="0080749A"/>
    <w:rsid w:val="008118D9"/>
    <w:rsid w:val="00821FB8"/>
    <w:rsid w:val="00822ACD"/>
    <w:rsid w:val="008270BB"/>
    <w:rsid w:val="00830042"/>
    <w:rsid w:val="008320FD"/>
    <w:rsid w:val="00832BDE"/>
    <w:rsid w:val="00834EB5"/>
    <w:rsid w:val="008547AB"/>
    <w:rsid w:val="00855C66"/>
    <w:rsid w:val="00856E1B"/>
    <w:rsid w:val="00871EE4"/>
    <w:rsid w:val="00874CA8"/>
    <w:rsid w:val="0088104A"/>
    <w:rsid w:val="00885506"/>
    <w:rsid w:val="0089068A"/>
    <w:rsid w:val="008A092B"/>
    <w:rsid w:val="008B1D19"/>
    <w:rsid w:val="008B293F"/>
    <w:rsid w:val="008B7371"/>
    <w:rsid w:val="008C6C59"/>
    <w:rsid w:val="008D3DDB"/>
    <w:rsid w:val="008F18C6"/>
    <w:rsid w:val="008F4D21"/>
    <w:rsid w:val="008F5435"/>
    <w:rsid w:val="008F573F"/>
    <w:rsid w:val="008F5F91"/>
    <w:rsid w:val="008F6643"/>
    <w:rsid w:val="00901109"/>
    <w:rsid w:val="009034EC"/>
    <w:rsid w:val="00911F44"/>
    <w:rsid w:val="0093067A"/>
    <w:rsid w:val="00932F13"/>
    <w:rsid w:val="00935F6F"/>
    <w:rsid w:val="00941C60"/>
    <w:rsid w:val="00941FD1"/>
    <w:rsid w:val="00943834"/>
    <w:rsid w:val="009515C4"/>
    <w:rsid w:val="00954C82"/>
    <w:rsid w:val="00956F06"/>
    <w:rsid w:val="00964E7D"/>
    <w:rsid w:val="009665A5"/>
    <w:rsid w:val="00966D42"/>
    <w:rsid w:val="00971689"/>
    <w:rsid w:val="00973E90"/>
    <w:rsid w:val="00975B07"/>
    <w:rsid w:val="00980B4A"/>
    <w:rsid w:val="0098172D"/>
    <w:rsid w:val="009D23C2"/>
    <w:rsid w:val="009D27A5"/>
    <w:rsid w:val="009D2EF4"/>
    <w:rsid w:val="009D52D7"/>
    <w:rsid w:val="009E072F"/>
    <w:rsid w:val="009E3D0A"/>
    <w:rsid w:val="009E4355"/>
    <w:rsid w:val="009E51FC"/>
    <w:rsid w:val="009F11D1"/>
    <w:rsid w:val="009F1D28"/>
    <w:rsid w:val="009F7618"/>
    <w:rsid w:val="009F7DC0"/>
    <w:rsid w:val="00A04D23"/>
    <w:rsid w:val="00A06766"/>
    <w:rsid w:val="00A10282"/>
    <w:rsid w:val="00A13765"/>
    <w:rsid w:val="00A148C2"/>
    <w:rsid w:val="00A15A5B"/>
    <w:rsid w:val="00A17E06"/>
    <w:rsid w:val="00A21B12"/>
    <w:rsid w:val="00A23508"/>
    <w:rsid w:val="00A23F80"/>
    <w:rsid w:val="00A3399C"/>
    <w:rsid w:val="00A33FA3"/>
    <w:rsid w:val="00A34115"/>
    <w:rsid w:val="00A378C6"/>
    <w:rsid w:val="00A425B7"/>
    <w:rsid w:val="00A46E98"/>
    <w:rsid w:val="00A57A4B"/>
    <w:rsid w:val="00A6352B"/>
    <w:rsid w:val="00A66711"/>
    <w:rsid w:val="00A701B5"/>
    <w:rsid w:val="00A714BB"/>
    <w:rsid w:val="00A73098"/>
    <w:rsid w:val="00A77147"/>
    <w:rsid w:val="00A83A38"/>
    <w:rsid w:val="00A92D8F"/>
    <w:rsid w:val="00A97BA1"/>
    <w:rsid w:val="00AB0614"/>
    <w:rsid w:val="00AB1BE6"/>
    <w:rsid w:val="00AB2988"/>
    <w:rsid w:val="00AB7999"/>
    <w:rsid w:val="00AB7CB4"/>
    <w:rsid w:val="00AC6C59"/>
    <w:rsid w:val="00AD2310"/>
    <w:rsid w:val="00AD3292"/>
    <w:rsid w:val="00AD5258"/>
    <w:rsid w:val="00AE7AF0"/>
    <w:rsid w:val="00AF3FD4"/>
    <w:rsid w:val="00AF4803"/>
    <w:rsid w:val="00AF4913"/>
    <w:rsid w:val="00AF534B"/>
    <w:rsid w:val="00B05127"/>
    <w:rsid w:val="00B13A76"/>
    <w:rsid w:val="00B1556E"/>
    <w:rsid w:val="00B26CE2"/>
    <w:rsid w:val="00B320E6"/>
    <w:rsid w:val="00B33761"/>
    <w:rsid w:val="00B35337"/>
    <w:rsid w:val="00B500CA"/>
    <w:rsid w:val="00B60C4F"/>
    <w:rsid w:val="00B61D93"/>
    <w:rsid w:val="00B73361"/>
    <w:rsid w:val="00B74FDF"/>
    <w:rsid w:val="00B761CE"/>
    <w:rsid w:val="00B76DEF"/>
    <w:rsid w:val="00B822C1"/>
    <w:rsid w:val="00B86314"/>
    <w:rsid w:val="00B8761C"/>
    <w:rsid w:val="00B9366D"/>
    <w:rsid w:val="00B9394D"/>
    <w:rsid w:val="00B9768E"/>
    <w:rsid w:val="00BA1C2E"/>
    <w:rsid w:val="00BA4AA8"/>
    <w:rsid w:val="00BA562B"/>
    <w:rsid w:val="00BA57BD"/>
    <w:rsid w:val="00BA670F"/>
    <w:rsid w:val="00BA69B2"/>
    <w:rsid w:val="00BB1213"/>
    <w:rsid w:val="00BB3A43"/>
    <w:rsid w:val="00BB4AFD"/>
    <w:rsid w:val="00BC200B"/>
    <w:rsid w:val="00BC4756"/>
    <w:rsid w:val="00BC69A4"/>
    <w:rsid w:val="00BC6F80"/>
    <w:rsid w:val="00BC78DC"/>
    <w:rsid w:val="00BD3511"/>
    <w:rsid w:val="00BE0680"/>
    <w:rsid w:val="00BE305F"/>
    <w:rsid w:val="00BE535E"/>
    <w:rsid w:val="00BE7BA3"/>
    <w:rsid w:val="00BF5682"/>
    <w:rsid w:val="00BF7B09"/>
    <w:rsid w:val="00C0667D"/>
    <w:rsid w:val="00C13759"/>
    <w:rsid w:val="00C14247"/>
    <w:rsid w:val="00C164D0"/>
    <w:rsid w:val="00C20A95"/>
    <w:rsid w:val="00C210D0"/>
    <w:rsid w:val="00C2692F"/>
    <w:rsid w:val="00C3207C"/>
    <w:rsid w:val="00C400E1"/>
    <w:rsid w:val="00C41187"/>
    <w:rsid w:val="00C44497"/>
    <w:rsid w:val="00C4485B"/>
    <w:rsid w:val="00C52069"/>
    <w:rsid w:val="00C5431D"/>
    <w:rsid w:val="00C61D21"/>
    <w:rsid w:val="00C63C31"/>
    <w:rsid w:val="00C713E7"/>
    <w:rsid w:val="00C734B1"/>
    <w:rsid w:val="00C757A0"/>
    <w:rsid w:val="00C760DE"/>
    <w:rsid w:val="00C825DF"/>
    <w:rsid w:val="00C82630"/>
    <w:rsid w:val="00C83FC4"/>
    <w:rsid w:val="00C85B4E"/>
    <w:rsid w:val="00C85E19"/>
    <w:rsid w:val="00C907F7"/>
    <w:rsid w:val="00C94DCF"/>
    <w:rsid w:val="00C958EA"/>
    <w:rsid w:val="00CA2103"/>
    <w:rsid w:val="00CA6949"/>
    <w:rsid w:val="00CB1F5C"/>
    <w:rsid w:val="00CB6B99"/>
    <w:rsid w:val="00CC5F49"/>
    <w:rsid w:val="00CE4C87"/>
    <w:rsid w:val="00CE544A"/>
    <w:rsid w:val="00D107F3"/>
    <w:rsid w:val="00D11E1C"/>
    <w:rsid w:val="00D160B0"/>
    <w:rsid w:val="00D17F94"/>
    <w:rsid w:val="00D21F5B"/>
    <w:rsid w:val="00D223FC"/>
    <w:rsid w:val="00D225E7"/>
    <w:rsid w:val="00D26D1E"/>
    <w:rsid w:val="00D3404E"/>
    <w:rsid w:val="00D42B5D"/>
    <w:rsid w:val="00D44EFC"/>
    <w:rsid w:val="00D474CF"/>
    <w:rsid w:val="00D5476D"/>
    <w:rsid w:val="00D5547E"/>
    <w:rsid w:val="00D757CF"/>
    <w:rsid w:val="00D8043E"/>
    <w:rsid w:val="00D81FC3"/>
    <w:rsid w:val="00D85714"/>
    <w:rsid w:val="00D860E2"/>
    <w:rsid w:val="00D86969"/>
    <w:rsid w:val="00D869A1"/>
    <w:rsid w:val="00DA413F"/>
    <w:rsid w:val="00DA4584"/>
    <w:rsid w:val="00DA614B"/>
    <w:rsid w:val="00DB28E4"/>
    <w:rsid w:val="00DB7AD7"/>
    <w:rsid w:val="00DC3060"/>
    <w:rsid w:val="00DD62AB"/>
    <w:rsid w:val="00DD7125"/>
    <w:rsid w:val="00DE0FB2"/>
    <w:rsid w:val="00DE3449"/>
    <w:rsid w:val="00DE4ACC"/>
    <w:rsid w:val="00DE4E97"/>
    <w:rsid w:val="00DF093E"/>
    <w:rsid w:val="00DF6FF4"/>
    <w:rsid w:val="00DF780D"/>
    <w:rsid w:val="00E01F42"/>
    <w:rsid w:val="00E02399"/>
    <w:rsid w:val="00E04D19"/>
    <w:rsid w:val="00E206D6"/>
    <w:rsid w:val="00E22CFF"/>
    <w:rsid w:val="00E3366E"/>
    <w:rsid w:val="00E33FA5"/>
    <w:rsid w:val="00E52086"/>
    <w:rsid w:val="00E5215E"/>
    <w:rsid w:val="00E543A6"/>
    <w:rsid w:val="00E60479"/>
    <w:rsid w:val="00E60561"/>
    <w:rsid w:val="00E610D6"/>
    <w:rsid w:val="00E61D73"/>
    <w:rsid w:val="00E651D6"/>
    <w:rsid w:val="00E67569"/>
    <w:rsid w:val="00E67B5F"/>
    <w:rsid w:val="00E73684"/>
    <w:rsid w:val="00E772EB"/>
    <w:rsid w:val="00E818D6"/>
    <w:rsid w:val="00E87F7A"/>
    <w:rsid w:val="00E9196F"/>
    <w:rsid w:val="00E94B3E"/>
    <w:rsid w:val="00E96BD7"/>
    <w:rsid w:val="00E97C4B"/>
    <w:rsid w:val="00EA0DB1"/>
    <w:rsid w:val="00EA0EE9"/>
    <w:rsid w:val="00EA6FE9"/>
    <w:rsid w:val="00EB6A12"/>
    <w:rsid w:val="00ED52CA"/>
    <w:rsid w:val="00ED5860"/>
    <w:rsid w:val="00EE35C9"/>
    <w:rsid w:val="00F05965"/>
    <w:rsid w:val="00F05ECA"/>
    <w:rsid w:val="00F126C8"/>
    <w:rsid w:val="00F32AD1"/>
    <w:rsid w:val="00F3566E"/>
    <w:rsid w:val="00F37445"/>
    <w:rsid w:val="00F375FB"/>
    <w:rsid w:val="00F41AC1"/>
    <w:rsid w:val="00F4367A"/>
    <w:rsid w:val="00F445B1"/>
    <w:rsid w:val="00F45330"/>
    <w:rsid w:val="00F45CD4"/>
    <w:rsid w:val="00F62458"/>
    <w:rsid w:val="00F66DCA"/>
    <w:rsid w:val="00F73DD3"/>
    <w:rsid w:val="00F74F53"/>
    <w:rsid w:val="00F7606D"/>
    <w:rsid w:val="00F81670"/>
    <w:rsid w:val="00F82024"/>
    <w:rsid w:val="00F8457C"/>
    <w:rsid w:val="00F86334"/>
    <w:rsid w:val="00F940A8"/>
    <w:rsid w:val="00F95BC9"/>
    <w:rsid w:val="00FA4AC0"/>
    <w:rsid w:val="00FA624C"/>
    <w:rsid w:val="00FB3DA0"/>
    <w:rsid w:val="00FC3658"/>
    <w:rsid w:val="00FC4751"/>
    <w:rsid w:val="00FC54DA"/>
    <w:rsid w:val="00FC79D4"/>
    <w:rsid w:val="00FD0FAC"/>
    <w:rsid w:val="00FD1DFA"/>
    <w:rsid w:val="00FD3091"/>
    <w:rsid w:val="00FD4966"/>
    <w:rsid w:val="00FE529D"/>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3FC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
    <w:name w:val="Table Grid1"/>
    <w:basedOn w:val="TableNormal"/>
    <w:next w:val="TableGrid"/>
    <w:uiPriority w:val="39"/>
    <w:rsid w:val="00725D38"/>
    <w:rPr>
      <w:rFonts w:ascii="Segoe UI" w:hAnsi="Segoe UI"/>
      <w:color w:val="4B4B4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0C046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
    <w:name w:val="Table Grid1"/>
    <w:basedOn w:val="TableNormal"/>
    <w:next w:val="TableGrid"/>
    <w:uiPriority w:val="39"/>
    <w:rsid w:val="00725D38"/>
    <w:rPr>
      <w:rFonts w:ascii="Segoe UI" w:hAnsi="Segoe UI"/>
      <w:color w:val="4B4B4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0C046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7894">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44874488">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35500751">
      <w:bodyDiv w:val="1"/>
      <w:marLeft w:val="0"/>
      <w:marRight w:val="0"/>
      <w:marTop w:val="0"/>
      <w:marBottom w:val="0"/>
      <w:divBdr>
        <w:top w:val="none" w:sz="0" w:space="0" w:color="auto"/>
        <w:left w:val="none" w:sz="0" w:space="0" w:color="auto"/>
        <w:bottom w:val="none" w:sz="0" w:space="0" w:color="auto"/>
        <w:right w:val="none" w:sz="0" w:space="0" w:color="auto"/>
      </w:divBdr>
    </w:div>
    <w:div w:id="343021670">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13168996">
      <w:bodyDiv w:val="1"/>
      <w:marLeft w:val="0"/>
      <w:marRight w:val="0"/>
      <w:marTop w:val="0"/>
      <w:marBottom w:val="0"/>
      <w:divBdr>
        <w:top w:val="none" w:sz="0" w:space="0" w:color="auto"/>
        <w:left w:val="none" w:sz="0" w:space="0" w:color="auto"/>
        <w:bottom w:val="none" w:sz="0" w:space="0" w:color="auto"/>
        <w:right w:val="none" w:sz="0" w:space="0" w:color="auto"/>
      </w:divBdr>
    </w:div>
    <w:div w:id="511334568">
      <w:bodyDiv w:val="1"/>
      <w:marLeft w:val="0"/>
      <w:marRight w:val="0"/>
      <w:marTop w:val="0"/>
      <w:marBottom w:val="0"/>
      <w:divBdr>
        <w:top w:val="none" w:sz="0" w:space="0" w:color="auto"/>
        <w:left w:val="none" w:sz="0" w:space="0" w:color="auto"/>
        <w:bottom w:val="none" w:sz="0" w:space="0" w:color="auto"/>
        <w:right w:val="none" w:sz="0" w:space="0" w:color="auto"/>
      </w:divBdr>
    </w:div>
    <w:div w:id="51368940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641517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33393987">
      <w:bodyDiv w:val="1"/>
      <w:marLeft w:val="0"/>
      <w:marRight w:val="0"/>
      <w:marTop w:val="0"/>
      <w:marBottom w:val="0"/>
      <w:divBdr>
        <w:top w:val="none" w:sz="0" w:space="0" w:color="auto"/>
        <w:left w:val="none" w:sz="0" w:space="0" w:color="auto"/>
        <w:bottom w:val="none" w:sz="0" w:space="0" w:color="auto"/>
        <w:right w:val="none" w:sz="0" w:space="0" w:color="auto"/>
      </w:divBdr>
    </w:div>
    <w:div w:id="1009597912">
      <w:bodyDiv w:val="1"/>
      <w:marLeft w:val="0"/>
      <w:marRight w:val="0"/>
      <w:marTop w:val="0"/>
      <w:marBottom w:val="0"/>
      <w:divBdr>
        <w:top w:val="none" w:sz="0" w:space="0" w:color="auto"/>
        <w:left w:val="none" w:sz="0" w:space="0" w:color="auto"/>
        <w:bottom w:val="none" w:sz="0" w:space="0" w:color="auto"/>
        <w:right w:val="none" w:sz="0" w:space="0" w:color="auto"/>
      </w:divBdr>
    </w:div>
    <w:div w:id="1075784263">
      <w:bodyDiv w:val="1"/>
      <w:marLeft w:val="0"/>
      <w:marRight w:val="0"/>
      <w:marTop w:val="0"/>
      <w:marBottom w:val="0"/>
      <w:divBdr>
        <w:top w:val="none" w:sz="0" w:space="0" w:color="auto"/>
        <w:left w:val="none" w:sz="0" w:space="0" w:color="auto"/>
        <w:bottom w:val="none" w:sz="0" w:space="0" w:color="auto"/>
        <w:right w:val="none" w:sz="0" w:space="0" w:color="auto"/>
      </w:divBdr>
    </w:div>
    <w:div w:id="114546463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40293986">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4415138">
      <w:bodyDiv w:val="1"/>
      <w:marLeft w:val="0"/>
      <w:marRight w:val="0"/>
      <w:marTop w:val="0"/>
      <w:marBottom w:val="0"/>
      <w:divBdr>
        <w:top w:val="none" w:sz="0" w:space="0" w:color="auto"/>
        <w:left w:val="none" w:sz="0" w:space="0" w:color="auto"/>
        <w:bottom w:val="none" w:sz="0" w:space="0" w:color="auto"/>
        <w:right w:val="none" w:sz="0" w:space="0" w:color="auto"/>
      </w:divBdr>
    </w:div>
    <w:div w:id="1594051040">
      <w:bodyDiv w:val="1"/>
      <w:marLeft w:val="0"/>
      <w:marRight w:val="0"/>
      <w:marTop w:val="0"/>
      <w:marBottom w:val="0"/>
      <w:divBdr>
        <w:top w:val="none" w:sz="0" w:space="0" w:color="auto"/>
        <w:left w:val="none" w:sz="0" w:space="0" w:color="auto"/>
        <w:bottom w:val="none" w:sz="0" w:space="0" w:color="auto"/>
        <w:right w:val="none" w:sz="0" w:space="0" w:color="auto"/>
      </w:divBdr>
    </w:div>
    <w:div w:id="1700201245">
      <w:bodyDiv w:val="1"/>
      <w:marLeft w:val="0"/>
      <w:marRight w:val="0"/>
      <w:marTop w:val="0"/>
      <w:marBottom w:val="0"/>
      <w:divBdr>
        <w:top w:val="none" w:sz="0" w:space="0" w:color="auto"/>
        <w:left w:val="none" w:sz="0" w:space="0" w:color="auto"/>
        <w:bottom w:val="none" w:sz="0" w:space="0" w:color="auto"/>
        <w:right w:val="none" w:sz="0" w:space="0" w:color="auto"/>
      </w:divBdr>
    </w:div>
    <w:div w:id="2073037889">
      <w:bodyDiv w:val="1"/>
      <w:marLeft w:val="0"/>
      <w:marRight w:val="0"/>
      <w:marTop w:val="0"/>
      <w:marBottom w:val="0"/>
      <w:divBdr>
        <w:top w:val="none" w:sz="0" w:space="0" w:color="auto"/>
        <w:left w:val="none" w:sz="0" w:space="0" w:color="auto"/>
        <w:bottom w:val="none" w:sz="0" w:space="0" w:color="auto"/>
        <w:right w:val="none" w:sz="0" w:space="0" w:color="auto"/>
      </w:divBdr>
    </w:div>
    <w:div w:id="208024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http://www.w3.org/XML/1998/namespace"/>
    <ds:schemaRef ds:uri="http://schemas.openxmlformats.org/package/2006/metadata/core-properties"/>
    <ds:schemaRef ds:uri="fdb8f1d2-729e-4e17-b922-d1876d49c6d9"/>
    <ds:schemaRef ds:uri="http://purl.org/dc/dcmitype/"/>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5209F7-6161-46A8-B795-544C9AEC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8D9BDFA7</Template>
  <TotalTime>10</TotalTime>
  <Pages>14</Pages>
  <Words>5964</Words>
  <Characters>33999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ahumpherson</dc:creator>
  <cp:lastModifiedBy>JMitchell</cp:lastModifiedBy>
  <cp:revision>6</cp:revision>
  <cp:lastPrinted>2020-02-13T14:18:00Z</cp:lastPrinted>
  <dcterms:created xsi:type="dcterms:W3CDTF">2020-02-24T17:35:00Z</dcterms:created>
  <dcterms:modified xsi:type="dcterms:W3CDTF">2020-02-27T10:02:00Z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